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F8EE0" w14:textId="77777777" w:rsidR="00632561" w:rsidRPr="00632561" w:rsidRDefault="00632561" w:rsidP="00632561">
      <w:pPr>
        <w:pStyle w:val="ListParagraph"/>
        <w:numPr>
          <w:ilvl w:val="0"/>
          <w:numId w:val="27"/>
        </w:numPr>
        <w:spacing w:line="259" w:lineRule="auto"/>
        <w:rPr>
          <w:rFonts w:cstheme="minorHAnsi"/>
          <w:b/>
        </w:rPr>
      </w:pPr>
      <w:r w:rsidRPr="00632561">
        <w:rPr>
          <w:rFonts w:cstheme="minorHAnsi"/>
          <w:b/>
        </w:rPr>
        <w:t>Purpose</w:t>
      </w:r>
    </w:p>
    <w:p w14:paraId="3A191CA3" w14:textId="77777777" w:rsidR="00632561" w:rsidRPr="00632561" w:rsidRDefault="00632561" w:rsidP="00632561">
      <w:pPr>
        <w:ind w:left="360"/>
        <w:rPr>
          <w:rFonts w:cstheme="minorHAnsi"/>
        </w:rPr>
      </w:pPr>
      <w:r w:rsidRPr="00632561">
        <w:rPr>
          <w:rFonts w:cstheme="minorHAnsi"/>
        </w:rPr>
        <w:t>The purpose of this policy is to specify how fees for the Institutional Review Board (IRB) review are calculated and processed by Louisiana State University Health Sciences Center – New Orleans (LSUHSC-NO) Human Research Protection Program (HRPP).</w:t>
      </w:r>
    </w:p>
    <w:p w14:paraId="706C7D64" w14:textId="77777777" w:rsidR="00632561" w:rsidRPr="00632561" w:rsidRDefault="00632561" w:rsidP="00632561">
      <w:pPr>
        <w:ind w:left="360"/>
        <w:rPr>
          <w:rFonts w:cstheme="minorHAnsi"/>
        </w:rPr>
      </w:pPr>
    </w:p>
    <w:p w14:paraId="0D135FEA" w14:textId="77777777" w:rsidR="00632561" w:rsidRPr="00632561" w:rsidRDefault="00632561" w:rsidP="00632561">
      <w:pPr>
        <w:pStyle w:val="ListParagraph"/>
        <w:numPr>
          <w:ilvl w:val="0"/>
          <w:numId w:val="27"/>
        </w:numPr>
        <w:spacing w:line="259" w:lineRule="auto"/>
        <w:rPr>
          <w:rFonts w:cstheme="minorHAnsi"/>
          <w:b/>
        </w:rPr>
      </w:pPr>
      <w:r w:rsidRPr="00632561">
        <w:rPr>
          <w:rFonts w:cstheme="minorHAnsi"/>
          <w:b/>
        </w:rPr>
        <w:t>Policy</w:t>
      </w:r>
    </w:p>
    <w:p w14:paraId="3B534DC7" w14:textId="77777777" w:rsidR="00632561" w:rsidRPr="00632561" w:rsidRDefault="00632561" w:rsidP="00632561">
      <w:pPr>
        <w:ind w:left="360"/>
        <w:rPr>
          <w:rFonts w:cstheme="minorHAnsi"/>
          <w:b/>
        </w:rPr>
      </w:pPr>
      <w:r w:rsidRPr="00632561">
        <w:rPr>
          <w:rFonts w:cstheme="minorHAnsi"/>
        </w:rPr>
        <w:t>It is the policy of LSUHSC-NO to charge for IRB review of indus</w:t>
      </w:r>
      <w:bookmarkStart w:id="0" w:name="_GoBack"/>
      <w:bookmarkEnd w:id="0"/>
      <w:r w:rsidRPr="00632561">
        <w:rPr>
          <w:rFonts w:cstheme="minorHAnsi"/>
        </w:rPr>
        <w:t>try-sponsored studies as a mechanism to support the administrative costs of such reviews.  Non LSUHSC-NO sites in federally sponsored multicenter clinical research studies for which the LSUHSC-NO IRB has agreed to provide oversight as the Single IRB of record are also charged fees to cover costs that would not otherwise be incurred.</w:t>
      </w:r>
    </w:p>
    <w:p w14:paraId="05DBA6DC" w14:textId="77777777" w:rsidR="00632561" w:rsidRPr="00632561" w:rsidRDefault="00632561" w:rsidP="00632561">
      <w:pPr>
        <w:rPr>
          <w:rFonts w:cstheme="minorHAnsi"/>
          <w:b/>
        </w:rPr>
      </w:pPr>
    </w:p>
    <w:p w14:paraId="569CF80C" w14:textId="77777777" w:rsidR="00632561" w:rsidRPr="00632561" w:rsidRDefault="00632561" w:rsidP="00632561">
      <w:pPr>
        <w:pStyle w:val="ListParagraph"/>
        <w:numPr>
          <w:ilvl w:val="0"/>
          <w:numId w:val="27"/>
        </w:numPr>
        <w:spacing w:line="259" w:lineRule="auto"/>
        <w:rPr>
          <w:rFonts w:cstheme="minorHAnsi"/>
          <w:b/>
        </w:rPr>
      </w:pPr>
      <w:r w:rsidRPr="00632561">
        <w:rPr>
          <w:rFonts w:cstheme="minorHAnsi"/>
          <w:b/>
        </w:rPr>
        <w:t>Scope</w:t>
      </w:r>
    </w:p>
    <w:p w14:paraId="5EE4D20E" w14:textId="77777777" w:rsidR="00632561" w:rsidRPr="00632561" w:rsidRDefault="00632561" w:rsidP="00632561">
      <w:pPr>
        <w:ind w:left="360"/>
        <w:rPr>
          <w:rFonts w:cstheme="minorHAnsi"/>
        </w:rPr>
      </w:pPr>
      <w:r w:rsidRPr="00632561">
        <w:rPr>
          <w:rFonts w:cstheme="minorHAnsi"/>
        </w:rPr>
        <w:t xml:space="preserve">This policy applies to all industry-initiated, industry-funded human subject research AND investigator-initiated, industry-funded human subject research submitted to the LSUHSC-NO HRPP for processing and/or review. It also applies to similar research sponsored by private foundations. Excluded from the fee are human subject research protocols funded by federal or state agencies or non-profit foundations and studies supported </w:t>
      </w:r>
      <w:proofErr w:type="spellStart"/>
      <w:r w:rsidRPr="00632561">
        <w:rPr>
          <w:rFonts w:cstheme="minorHAnsi"/>
        </w:rPr>
        <w:t>intramurally</w:t>
      </w:r>
      <w:proofErr w:type="spellEnd"/>
      <w:r w:rsidRPr="00632561">
        <w:rPr>
          <w:rFonts w:cstheme="minorHAnsi"/>
        </w:rPr>
        <w:t xml:space="preserve"> (by department, center, school, LSUHSC Foundation). </w:t>
      </w:r>
    </w:p>
    <w:p w14:paraId="0B5B39EE" w14:textId="77777777" w:rsidR="00632561" w:rsidRPr="00632561" w:rsidRDefault="00632561" w:rsidP="00632561">
      <w:pPr>
        <w:ind w:left="360"/>
        <w:rPr>
          <w:rFonts w:cstheme="minorHAnsi"/>
        </w:rPr>
      </w:pPr>
    </w:p>
    <w:p w14:paraId="45CA26F1" w14:textId="77777777" w:rsidR="00632561" w:rsidRPr="00632561" w:rsidRDefault="00632561" w:rsidP="00632561">
      <w:pPr>
        <w:ind w:left="360"/>
        <w:rPr>
          <w:rFonts w:cstheme="minorHAnsi"/>
        </w:rPr>
      </w:pPr>
      <w:r w:rsidRPr="00632561">
        <w:rPr>
          <w:rFonts w:cstheme="minorHAnsi"/>
        </w:rPr>
        <w:t>These fees also apply to investigators from outside LSUHSC-NO that use the LSUHSC-NO IRB for review of their human subject research studies, including when those studies are multicenter federally sponsored projects where LSUHSC-NO has agreed to serve as the Single IRB of record.</w:t>
      </w:r>
    </w:p>
    <w:p w14:paraId="7744D054" w14:textId="77777777" w:rsidR="00632561" w:rsidRPr="00632561" w:rsidRDefault="00632561" w:rsidP="00632561">
      <w:pPr>
        <w:ind w:left="360"/>
        <w:rPr>
          <w:rFonts w:cstheme="minorHAnsi"/>
        </w:rPr>
      </w:pPr>
    </w:p>
    <w:p w14:paraId="25F90C1F" w14:textId="77777777" w:rsidR="00632561" w:rsidRPr="00632561" w:rsidRDefault="00632561" w:rsidP="00632561">
      <w:pPr>
        <w:pStyle w:val="ListParagraph"/>
        <w:numPr>
          <w:ilvl w:val="0"/>
          <w:numId w:val="27"/>
        </w:numPr>
        <w:spacing w:line="259" w:lineRule="auto"/>
        <w:rPr>
          <w:rFonts w:cstheme="minorHAnsi"/>
          <w:b/>
        </w:rPr>
      </w:pPr>
      <w:r w:rsidRPr="00632561">
        <w:rPr>
          <w:rFonts w:cstheme="minorHAnsi"/>
          <w:b/>
        </w:rPr>
        <w:t>Procedure</w:t>
      </w:r>
    </w:p>
    <w:p w14:paraId="5E52C06D" w14:textId="77777777" w:rsidR="00632561" w:rsidRPr="00632561" w:rsidRDefault="00632561" w:rsidP="00632561">
      <w:pPr>
        <w:pStyle w:val="ListParagraph"/>
        <w:numPr>
          <w:ilvl w:val="0"/>
          <w:numId w:val="28"/>
        </w:numPr>
        <w:rPr>
          <w:rFonts w:cstheme="minorHAnsi"/>
        </w:rPr>
      </w:pPr>
      <w:r w:rsidRPr="00632561">
        <w:rPr>
          <w:rFonts w:cstheme="minorHAnsi"/>
        </w:rPr>
        <w:t xml:space="preserve">Fees will be reviewed by the Office of Research Services at least annually. Any institutionally-approved changes will be published on the LSUHSC-NO IRB website and conveyed to active Principal Investigators, Research Administration of all Schools, and the Office of Sponsored Programs. Every effort will be made not to adjust fees on grants where budgets have been finalized. </w:t>
      </w:r>
    </w:p>
    <w:p w14:paraId="27ACF429" w14:textId="77777777" w:rsidR="00632561" w:rsidRPr="00632561" w:rsidRDefault="00632561" w:rsidP="00632561">
      <w:pPr>
        <w:rPr>
          <w:rFonts w:cstheme="minorHAnsi"/>
        </w:rPr>
      </w:pPr>
    </w:p>
    <w:p w14:paraId="311F8537" w14:textId="77777777" w:rsidR="00632561" w:rsidRPr="00632561" w:rsidRDefault="00632561" w:rsidP="00632561">
      <w:pPr>
        <w:pStyle w:val="ListParagraph"/>
        <w:numPr>
          <w:ilvl w:val="0"/>
          <w:numId w:val="28"/>
        </w:numPr>
        <w:rPr>
          <w:rFonts w:cstheme="minorHAnsi"/>
        </w:rPr>
      </w:pPr>
      <w:r w:rsidRPr="00632561">
        <w:rPr>
          <w:rFonts w:cstheme="minorHAnsi"/>
        </w:rPr>
        <w:t>Any applicable fee will be added to the budgets of contracts that are entered directly with for-profit companies, as well as subcontracts issued to LSUHSC-NO from another institution. For purposes of calculation of Facilities &amp; Administrative (F &amp; A) costs, this fee should not be included as part of the F&amp;A cost base.  The IRB fee must be identified as a line item in the expenditure budget.</w:t>
      </w:r>
    </w:p>
    <w:p w14:paraId="21464AED" w14:textId="77777777" w:rsidR="00632561" w:rsidRPr="00632561" w:rsidRDefault="00632561" w:rsidP="00632561">
      <w:pPr>
        <w:rPr>
          <w:rFonts w:cstheme="minorHAnsi"/>
        </w:rPr>
      </w:pPr>
    </w:p>
    <w:p w14:paraId="20B52590" w14:textId="77777777" w:rsidR="00632561" w:rsidRPr="00632561" w:rsidRDefault="00632561" w:rsidP="00632561">
      <w:pPr>
        <w:pStyle w:val="ListParagraph"/>
        <w:numPr>
          <w:ilvl w:val="0"/>
          <w:numId w:val="28"/>
        </w:numPr>
        <w:rPr>
          <w:rFonts w:cstheme="minorHAnsi"/>
        </w:rPr>
      </w:pPr>
      <w:r w:rsidRPr="00632561">
        <w:rPr>
          <w:rFonts w:cstheme="minorHAnsi"/>
        </w:rPr>
        <w:t>Fees associated with the performance of Single IRB review activities for non LSUHSC-NO sites will be handled as a direct charge to federal grants and therefore the associated revenue and costs will be excluded from the calculation of F &amp; A costs.</w:t>
      </w:r>
    </w:p>
    <w:p w14:paraId="606ED961" w14:textId="77777777" w:rsidR="00632561" w:rsidRPr="00632561" w:rsidRDefault="00632561" w:rsidP="00632561">
      <w:pPr>
        <w:rPr>
          <w:rFonts w:cstheme="minorHAnsi"/>
        </w:rPr>
      </w:pPr>
    </w:p>
    <w:p w14:paraId="179656CD" w14:textId="77777777" w:rsidR="00632561" w:rsidRPr="00632561" w:rsidRDefault="00632561" w:rsidP="00632561">
      <w:pPr>
        <w:pStyle w:val="ListParagraph"/>
        <w:numPr>
          <w:ilvl w:val="0"/>
          <w:numId w:val="28"/>
        </w:numPr>
        <w:rPr>
          <w:rFonts w:cstheme="minorHAnsi"/>
        </w:rPr>
      </w:pPr>
      <w:r w:rsidRPr="00632561">
        <w:rPr>
          <w:rFonts w:cstheme="minorHAnsi"/>
        </w:rPr>
        <w:t xml:space="preserve">The Office of Research Services will prepare and submit to Accounting Services a journal entry in the amount of the appropriate initial IRB fee upon receiving e-mailed documentation from Sponsored Projects Administration that a PeopleSoft account has been established for the </w:t>
      </w:r>
      <w:r w:rsidRPr="00632561">
        <w:rPr>
          <w:rFonts w:cstheme="minorHAnsi"/>
        </w:rPr>
        <w:lastRenderedPageBreak/>
        <w:t>study.   Concurrently, the Office of Research Services will submit an invoice to the study sponsor in the same amount.</w:t>
      </w:r>
    </w:p>
    <w:p w14:paraId="7D8CB3E9" w14:textId="77777777" w:rsidR="00632561" w:rsidRPr="00632561" w:rsidRDefault="00632561" w:rsidP="00632561">
      <w:pPr>
        <w:rPr>
          <w:rFonts w:cstheme="minorHAnsi"/>
        </w:rPr>
      </w:pPr>
    </w:p>
    <w:p w14:paraId="19DEEFC0" w14:textId="77777777" w:rsidR="00632561" w:rsidRPr="00632561" w:rsidRDefault="00632561" w:rsidP="00632561">
      <w:pPr>
        <w:pStyle w:val="ListParagraph"/>
        <w:numPr>
          <w:ilvl w:val="0"/>
          <w:numId w:val="28"/>
        </w:numPr>
        <w:rPr>
          <w:rFonts w:cstheme="minorHAnsi"/>
        </w:rPr>
      </w:pPr>
      <w:r w:rsidRPr="00632561">
        <w:rPr>
          <w:rFonts w:cstheme="minorHAnsi"/>
        </w:rPr>
        <w:t>Through the life of the study, the Office of Research Services will prepare and submit to Accounting Services journal entries in amounts appropriate to reflect the actions of the IRB (i.e., continuing review, modification) and will concurrently submit invoices to the study sponsor in those same amounts.</w:t>
      </w:r>
    </w:p>
    <w:p w14:paraId="18A06734" w14:textId="77777777" w:rsidR="00632561" w:rsidRPr="00632561" w:rsidRDefault="00632561" w:rsidP="00632561">
      <w:pPr>
        <w:rPr>
          <w:rFonts w:cstheme="minorHAnsi"/>
        </w:rPr>
      </w:pPr>
    </w:p>
    <w:p w14:paraId="5CA3F02F" w14:textId="77777777" w:rsidR="00632561" w:rsidRPr="00632561" w:rsidRDefault="00632561" w:rsidP="00632561">
      <w:pPr>
        <w:pStyle w:val="ListParagraph"/>
        <w:numPr>
          <w:ilvl w:val="0"/>
          <w:numId w:val="28"/>
        </w:numPr>
        <w:rPr>
          <w:rFonts w:cstheme="minorHAnsi"/>
        </w:rPr>
      </w:pPr>
      <w:r w:rsidRPr="00632561">
        <w:rPr>
          <w:rFonts w:cstheme="minorHAnsi"/>
        </w:rPr>
        <w:t>Fees are non-refundable and not contingent on approval of the study being reviewed.</w:t>
      </w:r>
    </w:p>
    <w:p w14:paraId="1842210E" w14:textId="77777777" w:rsidR="00632561" w:rsidRPr="00632561" w:rsidRDefault="00632561" w:rsidP="00632561">
      <w:pPr>
        <w:ind w:left="360"/>
        <w:rPr>
          <w:rFonts w:cstheme="minorHAnsi"/>
        </w:rPr>
      </w:pPr>
    </w:p>
    <w:p w14:paraId="3BFAD1BB" w14:textId="77777777" w:rsidR="00632561" w:rsidRPr="00632561" w:rsidRDefault="00632561" w:rsidP="00632561">
      <w:pPr>
        <w:pStyle w:val="ListParagraph"/>
        <w:numPr>
          <w:ilvl w:val="0"/>
          <w:numId w:val="28"/>
        </w:numPr>
        <w:rPr>
          <w:rFonts w:cstheme="minorHAnsi"/>
          <w:b/>
        </w:rPr>
      </w:pPr>
      <w:r w:rsidRPr="00632561">
        <w:rPr>
          <w:rFonts w:cstheme="minorHAnsi"/>
        </w:rPr>
        <w:t>The current fee schedule is located</w:t>
      </w:r>
      <w:r w:rsidRPr="00632561">
        <w:rPr>
          <w:rFonts w:cstheme="minorHAnsi"/>
          <w:b/>
        </w:rPr>
        <w:t xml:space="preserve"> </w:t>
      </w:r>
      <w:hyperlink r:id="rId8" w:history="1">
        <w:r w:rsidRPr="00632561">
          <w:rPr>
            <w:rStyle w:val="Hyperlink"/>
            <w:rFonts w:cstheme="minorHAnsi"/>
            <w:b/>
          </w:rPr>
          <w:t>here</w:t>
        </w:r>
      </w:hyperlink>
      <w:r w:rsidRPr="00632561">
        <w:rPr>
          <w:rFonts w:cstheme="minorHAnsi"/>
          <w:b/>
        </w:rPr>
        <w:t xml:space="preserve"> </w:t>
      </w:r>
      <w:r w:rsidRPr="00632561">
        <w:rPr>
          <w:rFonts w:cstheme="minorHAnsi"/>
        </w:rPr>
        <w:t>(</w:t>
      </w:r>
      <w:hyperlink r:id="rId9" w:history="1">
        <w:r w:rsidRPr="00632561">
          <w:rPr>
            <w:rStyle w:val="Hyperlink"/>
            <w:rFonts w:cstheme="minorHAnsi"/>
          </w:rPr>
          <w:t>http://www.lsuhsc.edu/administration/academic/ors/docs/IRB%20PROTOCOL%20REVIEW%20FEE%20Schedule_4.26.18.pdf</w:t>
        </w:r>
      </w:hyperlink>
      <w:r w:rsidRPr="00632561">
        <w:rPr>
          <w:rFonts w:cstheme="minorHAnsi"/>
        </w:rPr>
        <w:t>).</w:t>
      </w:r>
    </w:p>
    <w:p w14:paraId="204CBCE4" w14:textId="77777777" w:rsidR="00632561" w:rsidRPr="00632561" w:rsidRDefault="00632561" w:rsidP="00632561">
      <w:pPr>
        <w:ind w:left="360"/>
        <w:rPr>
          <w:rFonts w:cstheme="minorHAnsi"/>
          <w:b/>
        </w:rPr>
      </w:pPr>
    </w:p>
    <w:p w14:paraId="3AF73505" w14:textId="77777777" w:rsidR="00632561" w:rsidRPr="00632561" w:rsidRDefault="00632561" w:rsidP="00632561">
      <w:pPr>
        <w:ind w:left="360"/>
        <w:rPr>
          <w:rFonts w:cstheme="minorHAnsi"/>
        </w:rPr>
      </w:pPr>
    </w:p>
    <w:p w14:paraId="1933D064" w14:textId="4C4BBCE5" w:rsidR="00AC649C" w:rsidRDefault="00AC649C" w:rsidP="003A65A4">
      <w:pPr>
        <w:rPr>
          <w:rFonts w:cstheme="minorHAnsi"/>
        </w:rPr>
      </w:pPr>
    </w:p>
    <w:p w14:paraId="109A75FC" w14:textId="358A04ED" w:rsidR="00837A98" w:rsidRDefault="00837A98" w:rsidP="003A65A4">
      <w:pPr>
        <w:rPr>
          <w:rFonts w:cstheme="minorHAnsi"/>
        </w:rPr>
      </w:pPr>
    </w:p>
    <w:p w14:paraId="0AEBD709" w14:textId="7E3D7E8F" w:rsidR="00837A98" w:rsidRDefault="00837A98" w:rsidP="003A65A4">
      <w:pPr>
        <w:rPr>
          <w:rFonts w:cstheme="minorHAnsi"/>
        </w:rPr>
      </w:pPr>
    </w:p>
    <w:p w14:paraId="182D1D9A" w14:textId="645F5437" w:rsidR="00837A98" w:rsidRDefault="00837A98" w:rsidP="003A65A4">
      <w:pPr>
        <w:rPr>
          <w:rFonts w:cstheme="minorHAnsi"/>
        </w:rPr>
      </w:pPr>
    </w:p>
    <w:p w14:paraId="382EA5F0" w14:textId="03D3EE8D" w:rsidR="00837A98" w:rsidRDefault="00837A98" w:rsidP="003A65A4">
      <w:pPr>
        <w:rPr>
          <w:rFonts w:cstheme="minorHAnsi"/>
        </w:rPr>
      </w:pPr>
    </w:p>
    <w:p w14:paraId="74733989" w14:textId="4D26DA22" w:rsidR="00837A98" w:rsidRDefault="00837A98" w:rsidP="003A65A4">
      <w:pPr>
        <w:rPr>
          <w:rFonts w:cstheme="minorHAnsi"/>
        </w:rPr>
      </w:pPr>
    </w:p>
    <w:p w14:paraId="668B1EA5" w14:textId="6E8039B2" w:rsidR="00837A98" w:rsidRDefault="00837A98" w:rsidP="003A65A4">
      <w:pPr>
        <w:rPr>
          <w:rFonts w:cstheme="minorHAnsi"/>
        </w:rPr>
      </w:pPr>
    </w:p>
    <w:p w14:paraId="48325AE6" w14:textId="7F4B045A" w:rsidR="00837A98" w:rsidRDefault="00837A98" w:rsidP="003A65A4">
      <w:pPr>
        <w:rPr>
          <w:rFonts w:cstheme="minorHAnsi"/>
        </w:rPr>
      </w:pPr>
    </w:p>
    <w:p w14:paraId="7BF2FF6E" w14:textId="3F260C02" w:rsidR="00837A98" w:rsidRDefault="00837A98" w:rsidP="003A65A4">
      <w:pPr>
        <w:rPr>
          <w:rFonts w:cstheme="minorHAnsi"/>
        </w:rPr>
      </w:pPr>
    </w:p>
    <w:p w14:paraId="31A77082" w14:textId="4185C92E" w:rsidR="00837A98" w:rsidRDefault="00837A98" w:rsidP="003A65A4">
      <w:pPr>
        <w:rPr>
          <w:rFonts w:cstheme="minorHAnsi"/>
        </w:rPr>
      </w:pPr>
    </w:p>
    <w:p w14:paraId="4483B3E4" w14:textId="0DED992B" w:rsidR="00837A98" w:rsidRDefault="00837A98" w:rsidP="003A65A4">
      <w:pPr>
        <w:rPr>
          <w:rFonts w:cstheme="minorHAnsi"/>
        </w:rPr>
      </w:pPr>
    </w:p>
    <w:p w14:paraId="6F19AC62" w14:textId="7FF08CCD" w:rsidR="00837A98" w:rsidRDefault="00837A98" w:rsidP="003A65A4">
      <w:pPr>
        <w:rPr>
          <w:rFonts w:cstheme="minorHAnsi"/>
        </w:rPr>
      </w:pPr>
    </w:p>
    <w:p w14:paraId="4A569FC4" w14:textId="0041C424" w:rsidR="00837A98" w:rsidRDefault="00837A98" w:rsidP="003A65A4">
      <w:pPr>
        <w:rPr>
          <w:rFonts w:cstheme="minorHAnsi"/>
        </w:rPr>
      </w:pPr>
    </w:p>
    <w:p w14:paraId="760E4CA0" w14:textId="5DD530A5" w:rsidR="00837A98" w:rsidRDefault="00837A98" w:rsidP="003A65A4">
      <w:pPr>
        <w:rPr>
          <w:rFonts w:cstheme="minorHAnsi"/>
        </w:rPr>
      </w:pPr>
    </w:p>
    <w:p w14:paraId="56B81311" w14:textId="5E0A9E79" w:rsidR="00837A98" w:rsidRDefault="00837A98" w:rsidP="003A65A4">
      <w:pPr>
        <w:rPr>
          <w:rFonts w:cstheme="minorHAnsi"/>
        </w:rPr>
      </w:pPr>
    </w:p>
    <w:p w14:paraId="586E610C" w14:textId="77777777" w:rsidR="00837A98" w:rsidRDefault="00837A98" w:rsidP="003A65A4">
      <w:pPr>
        <w:rPr>
          <w:rFonts w:cstheme="minorHAnsi"/>
        </w:rPr>
      </w:pPr>
    </w:p>
    <w:p w14:paraId="03F7574A" w14:textId="48B1BACD" w:rsidR="00837A98" w:rsidRDefault="00837A98" w:rsidP="003A65A4">
      <w:pPr>
        <w:rPr>
          <w:rFonts w:cstheme="minorHAnsi"/>
        </w:rPr>
      </w:pPr>
    </w:p>
    <w:p w14:paraId="655814E0" w14:textId="3B5DC61C" w:rsidR="00837A98" w:rsidRDefault="00837A98" w:rsidP="003A65A4">
      <w:pPr>
        <w:rPr>
          <w:rFonts w:cstheme="minorHAnsi"/>
        </w:rPr>
      </w:pPr>
    </w:p>
    <w:tbl>
      <w:tblPr>
        <w:tblW w:w="5005" w:type="pct"/>
        <w:tblInd w:w="8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1800"/>
        <w:gridCol w:w="1800"/>
        <w:gridCol w:w="5759"/>
      </w:tblGrid>
      <w:tr w:rsidR="00837A98" w:rsidRPr="006B2F85" w14:paraId="01F31AA7" w14:textId="77777777" w:rsidTr="00F50C21">
        <w:trPr>
          <w:cantSplit/>
          <w:trHeight w:val="144"/>
        </w:trPr>
        <w:tc>
          <w:tcPr>
            <w:tcW w:w="1800" w:type="dxa"/>
            <w:shd w:val="clear" w:color="auto" w:fill="FFD966" w:themeFill="accent4" w:themeFillTint="99"/>
            <w:vAlign w:val="center"/>
          </w:tcPr>
          <w:p w14:paraId="2A7DD47B" w14:textId="77777777" w:rsidR="00837A98" w:rsidRPr="00091797" w:rsidRDefault="00837A98" w:rsidP="00F50C21">
            <w:pPr>
              <w:pStyle w:val="Header"/>
              <w:spacing w:after="120"/>
              <w:jc w:val="center"/>
              <w:rPr>
                <w:b/>
              </w:rPr>
            </w:pPr>
            <w:r w:rsidRPr="00091797">
              <w:rPr>
                <w:b/>
              </w:rPr>
              <w:t>Version Number</w:t>
            </w:r>
          </w:p>
        </w:tc>
        <w:tc>
          <w:tcPr>
            <w:tcW w:w="1800" w:type="dxa"/>
            <w:shd w:val="clear" w:color="auto" w:fill="FFD966" w:themeFill="accent4" w:themeFillTint="99"/>
          </w:tcPr>
          <w:p w14:paraId="384D30BA" w14:textId="77777777" w:rsidR="00837A98" w:rsidRPr="00091797" w:rsidRDefault="00837A98" w:rsidP="00F50C21">
            <w:pPr>
              <w:pStyle w:val="Header"/>
              <w:spacing w:after="120"/>
              <w:jc w:val="center"/>
              <w:rPr>
                <w:b/>
              </w:rPr>
            </w:pPr>
            <w:r>
              <w:rPr>
                <w:b/>
              </w:rPr>
              <w:t>Version</w:t>
            </w:r>
            <w:r w:rsidRPr="00091797">
              <w:rPr>
                <w:b/>
              </w:rPr>
              <w:t xml:space="preserve"> Date</w:t>
            </w:r>
          </w:p>
        </w:tc>
        <w:tc>
          <w:tcPr>
            <w:tcW w:w="5759" w:type="dxa"/>
            <w:shd w:val="clear" w:color="auto" w:fill="FFD966" w:themeFill="accent4" w:themeFillTint="99"/>
          </w:tcPr>
          <w:p w14:paraId="04531256" w14:textId="77777777" w:rsidR="00837A98" w:rsidRPr="00091797" w:rsidRDefault="00837A98" w:rsidP="00F50C21">
            <w:pPr>
              <w:pStyle w:val="Header"/>
              <w:spacing w:after="120"/>
              <w:jc w:val="center"/>
              <w:rPr>
                <w:b/>
              </w:rPr>
            </w:pPr>
            <w:r w:rsidRPr="00091797">
              <w:rPr>
                <w:b/>
              </w:rPr>
              <w:t>Summary of Changes</w:t>
            </w:r>
          </w:p>
        </w:tc>
      </w:tr>
      <w:tr w:rsidR="00837A98" w:rsidRPr="006B2F85" w14:paraId="278A607A" w14:textId="77777777" w:rsidTr="00F50C21">
        <w:trPr>
          <w:cantSplit/>
          <w:trHeight w:val="167"/>
        </w:trPr>
        <w:tc>
          <w:tcPr>
            <w:tcW w:w="1800" w:type="dxa"/>
            <w:vAlign w:val="center"/>
          </w:tcPr>
          <w:p w14:paraId="66522EFD" w14:textId="77777777" w:rsidR="00837A98" w:rsidRPr="00091797" w:rsidRDefault="00837A98" w:rsidP="00F50C21">
            <w:pPr>
              <w:pStyle w:val="Header"/>
              <w:spacing w:after="120"/>
              <w:jc w:val="center"/>
            </w:pPr>
            <w:r>
              <w:t>2</w:t>
            </w:r>
            <w:r w:rsidRPr="00091797">
              <w:t>.</w:t>
            </w:r>
            <w:r>
              <w:t>1</w:t>
            </w:r>
          </w:p>
        </w:tc>
        <w:tc>
          <w:tcPr>
            <w:tcW w:w="1800" w:type="dxa"/>
            <w:vAlign w:val="center"/>
          </w:tcPr>
          <w:p w14:paraId="79E19433" w14:textId="77777777" w:rsidR="00837A98" w:rsidRPr="00091797" w:rsidRDefault="00837A98" w:rsidP="00F50C21">
            <w:pPr>
              <w:pStyle w:val="Header"/>
              <w:spacing w:after="120"/>
              <w:jc w:val="center"/>
            </w:pPr>
            <w:r>
              <w:t>11.19.2020</w:t>
            </w:r>
          </w:p>
        </w:tc>
        <w:tc>
          <w:tcPr>
            <w:tcW w:w="5759" w:type="dxa"/>
            <w:vAlign w:val="center"/>
          </w:tcPr>
          <w:p w14:paraId="5DFF55C5" w14:textId="77777777" w:rsidR="00837A98" w:rsidRPr="00091797" w:rsidRDefault="00837A98" w:rsidP="00F50C21">
            <w:pPr>
              <w:pStyle w:val="Header"/>
              <w:spacing w:after="120"/>
              <w:jc w:val="center"/>
            </w:pPr>
            <w:r>
              <w:t>Re-numbered policy due to consolidation of other policies</w:t>
            </w:r>
          </w:p>
        </w:tc>
      </w:tr>
      <w:tr w:rsidR="00837A98" w:rsidRPr="006B2F85" w14:paraId="1E04E48A" w14:textId="77777777" w:rsidTr="00F50C21">
        <w:trPr>
          <w:cantSplit/>
          <w:trHeight w:val="167"/>
        </w:trPr>
        <w:tc>
          <w:tcPr>
            <w:tcW w:w="1800" w:type="dxa"/>
            <w:vAlign w:val="center"/>
          </w:tcPr>
          <w:p w14:paraId="02A3F01B" w14:textId="77777777" w:rsidR="00837A98" w:rsidRPr="00091797" w:rsidRDefault="00837A98" w:rsidP="00F50C21">
            <w:pPr>
              <w:pStyle w:val="Header"/>
              <w:spacing w:after="120"/>
              <w:jc w:val="center"/>
            </w:pPr>
            <w:r>
              <w:t>2.0</w:t>
            </w:r>
          </w:p>
        </w:tc>
        <w:tc>
          <w:tcPr>
            <w:tcW w:w="1800" w:type="dxa"/>
            <w:vAlign w:val="center"/>
          </w:tcPr>
          <w:p w14:paraId="663EEFBB" w14:textId="77777777" w:rsidR="00837A98" w:rsidRDefault="00837A98" w:rsidP="00F50C21">
            <w:pPr>
              <w:pStyle w:val="Header"/>
              <w:spacing w:after="120"/>
              <w:jc w:val="center"/>
            </w:pPr>
            <w:r>
              <w:t>2.07.2020</w:t>
            </w:r>
          </w:p>
        </w:tc>
        <w:tc>
          <w:tcPr>
            <w:tcW w:w="5759" w:type="dxa"/>
            <w:vAlign w:val="center"/>
          </w:tcPr>
          <w:p w14:paraId="177FD46C" w14:textId="77777777" w:rsidR="00837A98" w:rsidRDefault="00837A98" w:rsidP="00F50C21">
            <w:pPr>
              <w:pStyle w:val="Header"/>
              <w:spacing w:after="120"/>
              <w:jc w:val="center"/>
            </w:pPr>
            <w:r>
              <w:t>Separated section in Guidebook into multiple online policies</w:t>
            </w:r>
          </w:p>
        </w:tc>
      </w:tr>
      <w:tr w:rsidR="00837A98" w:rsidRPr="006B2F85" w14:paraId="1CAF7D96" w14:textId="77777777" w:rsidTr="00F50C21">
        <w:trPr>
          <w:cantSplit/>
          <w:trHeight w:val="167"/>
        </w:trPr>
        <w:tc>
          <w:tcPr>
            <w:tcW w:w="1800" w:type="dxa"/>
            <w:vAlign w:val="center"/>
          </w:tcPr>
          <w:p w14:paraId="3CC0498A" w14:textId="77777777" w:rsidR="00837A98" w:rsidRPr="00091797" w:rsidRDefault="00837A98" w:rsidP="00F50C21">
            <w:pPr>
              <w:pStyle w:val="Header"/>
              <w:spacing w:after="120"/>
              <w:jc w:val="center"/>
            </w:pPr>
            <w:r>
              <w:t>1.0</w:t>
            </w:r>
          </w:p>
        </w:tc>
        <w:tc>
          <w:tcPr>
            <w:tcW w:w="1800" w:type="dxa"/>
            <w:vAlign w:val="center"/>
          </w:tcPr>
          <w:p w14:paraId="37D210F2" w14:textId="77777777" w:rsidR="00837A98" w:rsidRDefault="00837A98" w:rsidP="00F50C21">
            <w:pPr>
              <w:pStyle w:val="Header"/>
              <w:spacing w:after="120"/>
              <w:jc w:val="center"/>
            </w:pPr>
            <w:r>
              <w:t>3.35.2019</w:t>
            </w:r>
          </w:p>
        </w:tc>
        <w:tc>
          <w:tcPr>
            <w:tcW w:w="5759" w:type="dxa"/>
            <w:vAlign w:val="center"/>
          </w:tcPr>
          <w:p w14:paraId="10E0D747" w14:textId="77777777" w:rsidR="00837A98" w:rsidRDefault="00837A98" w:rsidP="00F50C21">
            <w:pPr>
              <w:pStyle w:val="Header"/>
              <w:spacing w:after="120"/>
              <w:jc w:val="center"/>
            </w:pPr>
            <w:r>
              <w:t>N/A</w:t>
            </w:r>
          </w:p>
        </w:tc>
      </w:tr>
    </w:tbl>
    <w:p w14:paraId="1785ED0D" w14:textId="77777777" w:rsidR="00837A98" w:rsidRPr="00632561" w:rsidRDefault="00837A98" w:rsidP="003A65A4">
      <w:pPr>
        <w:rPr>
          <w:rFonts w:cstheme="minorHAnsi"/>
        </w:rPr>
      </w:pPr>
    </w:p>
    <w:sectPr w:rsidR="00837A98" w:rsidRPr="00632561" w:rsidSect="00666301">
      <w:footerReference w:type="default" r:id="rId10"/>
      <w:headerReference w:type="first" r:id="rId11"/>
      <w:footerReference w:type="first" r:id="rId12"/>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8F2CE" w14:textId="77777777" w:rsidR="00E61017" w:rsidRDefault="00E61017" w:rsidP="00666301">
      <w:r>
        <w:separator/>
      </w:r>
    </w:p>
  </w:endnote>
  <w:endnote w:type="continuationSeparator" w:id="0">
    <w:p w14:paraId="66BEC5FC" w14:textId="77777777" w:rsidR="00E61017" w:rsidRDefault="00E61017" w:rsidP="0066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DC3C" w14:textId="6335B657" w:rsidR="00666301" w:rsidRDefault="00632561">
    <w:pPr>
      <w:pStyle w:val="Footer"/>
    </w:pPr>
    <w:r>
      <w:t>P&amp;P</w:t>
    </w:r>
    <w:r w:rsidRPr="00BD3C1F">
      <w:t xml:space="preserve"> </w:t>
    </w:r>
    <w:r>
      <w:t xml:space="preserve">2.09 – </w:t>
    </w:r>
    <w:r w:rsidRPr="00632561">
      <w:t>IRB Protocol Review Fee Policy</w:t>
    </w:r>
    <w:r w:rsidR="00666301" w:rsidRPr="00BD3C1F">
      <w:tab/>
    </w:r>
    <w:r w:rsidR="00666301" w:rsidRPr="00BD3C1F">
      <w:tab/>
      <w:t xml:space="preserve">Page </w:t>
    </w:r>
    <w:r w:rsidR="00666301" w:rsidRPr="00BD3C1F">
      <w:fldChar w:fldCharType="begin"/>
    </w:r>
    <w:r w:rsidR="00666301" w:rsidRPr="00BD3C1F">
      <w:instrText xml:space="preserve"> PAGE  \* Arabic  \* MERGEFORMAT </w:instrText>
    </w:r>
    <w:r w:rsidR="00666301" w:rsidRPr="00BD3C1F">
      <w:fldChar w:fldCharType="separate"/>
    </w:r>
    <w:r w:rsidR="00837A98">
      <w:rPr>
        <w:noProof/>
      </w:rPr>
      <w:t>2</w:t>
    </w:r>
    <w:r w:rsidR="00666301" w:rsidRPr="00BD3C1F">
      <w:fldChar w:fldCharType="end"/>
    </w:r>
    <w:r w:rsidR="00666301" w:rsidRPr="00BD3C1F">
      <w:t xml:space="preserve"> of </w:t>
    </w:r>
    <w:fldSimple w:instr=" NUMPAGES  \* Arabic  \* MERGEFORMAT ">
      <w:r w:rsidR="00837A98">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D118C" w14:textId="05839CAF" w:rsidR="00666301" w:rsidRDefault="00320381">
    <w:pPr>
      <w:pStyle w:val="Footer"/>
    </w:pPr>
    <w:r>
      <w:t>P&amp;P</w:t>
    </w:r>
    <w:r w:rsidR="00666301" w:rsidRPr="00BD3C1F">
      <w:t xml:space="preserve"> </w:t>
    </w:r>
    <w:r w:rsidR="00632561">
      <w:t>2.09</w:t>
    </w:r>
    <w:r w:rsidR="00666301">
      <w:t xml:space="preserve"> – </w:t>
    </w:r>
    <w:r w:rsidR="00632561" w:rsidRPr="00632561">
      <w:t>IRB Protocol Review Fee Policy</w:t>
    </w:r>
    <w:r w:rsidR="00666301" w:rsidRPr="00BD3C1F">
      <w:tab/>
    </w:r>
    <w:r w:rsidR="00666301" w:rsidRPr="00BD3C1F">
      <w:tab/>
      <w:t xml:space="preserve">Page </w:t>
    </w:r>
    <w:r w:rsidR="00666301" w:rsidRPr="00BD3C1F">
      <w:fldChar w:fldCharType="begin"/>
    </w:r>
    <w:r w:rsidR="00666301" w:rsidRPr="00BD3C1F">
      <w:instrText xml:space="preserve"> PAGE  \* Arabic  \* MERGEFORMAT </w:instrText>
    </w:r>
    <w:r w:rsidR="00666301" w:rsidRPr="00BD3C1F">
      <w:fldChar w:fldCharType="separate"/>
    </w:r>
    <w:r w:rsidR="00837A98">
      <w:rPr>
        <w:noProof/>
      </w:rPr>
      <w:t>1</w:t>
    </w:r>
    <w:r w:rsidR="00666301" w:rsidRPr="00BD3C1F">
      <w:fldChar w:fldCharType="end"/>
    </w:r>
    <w:r w:rsidR="00666301" w:rsidRPr="00BD3C1F">
      <w:t xml:space="preserve"> of </w:t>
    </w:r>
    <w:fldSimple w:instr=" NUMPAGES  \* Arabic  \* MERGEFORMAT ">
      <w:r w:rsidR="00837A98">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55495" w14:textId="77777777" w:rsidR="00E61017" w:rsidRDefault="00E61017" w:rsidP="00666301">
      <w:r>
        <w:separator/>
      </w:r>
    </w:p>
  </w:footnote>
  <w:footnote w:type="continuationSeparator" w:id="0">
    <w:p w14:paraId="3BAE3C6D" w14:textId="77777777" w:rsidR="00E61017" w:rsidRDefault="00E61017" w:rsidP="0066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1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003"/>
      <w:gridCol w:w="1769"/>
      <w:gridCol w:w="1814"/>
      <w:gridCol w:w="2416"/>
    </w:tblGrid>
    <w:tr w:rsidR="00666301" w:rsidRPr="006520A8" w14:paraId="1C72186C" w14:textId="77777777" w:rsidTr="00837A98">
      <w:trPr>
        <w:cantSplit/>
        <w:trHeight w:val="800"/>
      </w:trPr>
      <w:tc>
        <w:tcPr>
          <w:tcW w:w="2556" w:type="dxa"/>
          <w:vMerge w:val="restart"/>
          <w:tcBorders>
            <w:top w:val="single" w:sz="4" w:space="0" w:color="auto"/>
            <w:left w:val="single" w:sz="4" w:space="0" w:color="auto"/>
            <w:right w:val="single" w:sz="4" w:space="0" w:color="auto"/>
          </w:tcBorders>
          <w:vAlign w:val="center"/>
        </w:tcPr>
        <w:p w14:paraId="7B1C6177" w14:textId="77777777" w:rsidR="00666301" w:rsidRPr="006520A8" w:rsidRDefault="00666301" w:rsidP="00666301">
          <w:pPr>
            <w:rPr>
              <w:b/>
              <w:color w:val="FFFFFF"/>
            </w:rPr>
          </w:pPr>
          <w:r w:rsidRPr="00D54DDE">
            <w:rPr>
              <w:b/>
              <w:noProof/>
              <w:color w:val="FFFFFF"/>
            </w:rPr>
            <w:drawing>
              <wp:anchor distT="0" distB="0" distL="114300" distR="114300" simplePos="0" relativeHeight="251659264" behindDoc="0" locked="0" layoutInCell="1" allowOverlap="1" wp14:anchorId="5D14EF81" wp14:editId="073517CF">
                <wp:simplePos x="981075" y="295275"/>
                <wp:positionH relativeFrom="margin">
                  <wp:posOffset>3175</wp:posOffset>
                </wp:positionH>
                <wp:positionV relativeFrom="margin">
                  <wp:posOffset>223520</wp:posOffset>
                </wp:positionV>
                <wp:extent cx="1482725" cy="704850"/>
                <wp:effectExtent l="0" t="0" r="3175" b="0"/>
                <wp:wrapSquare wrapText="bothSides"/>
                <wp:docPr id="1" name="Picture 1"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11-TEMPLATES\LSUHSC\LSU Health-HRPP-purp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272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02" w:type="dxa"/>
          <w:gridSpan w:val="4"/>
          <w:tcBorders>
            <w:top w:val="single" w:sz="4" w:space="0" w:color="auto"/>
            <w:left w:val="single" w:sz="4" w:space="0" w:color="auto"/>
            <w:right w:val="single" w:sz="4" w:space="0" w:color="auto"/>
          </w:tcBorders>
          <w:shd w:val="clear" w:color="auto" w:fill="7030A0"/>
        </w:tcPr>
        <w:p w14:paraId="0AD419B4" w14:textId="447B3BE0" w:rsidR="00666301" w:rsidRPr="00837A98" w:rsidRDefault="00632561" w:rsidP="00666301">
          <w:pPr>
            <w:pStyle w:val="SOPName"/>
            <w:ind w:left="0" w:firstLine="0"/>
            <w:rPr>
              <w:rStyle w:val="SOPLeader"/>
              <w:rFonts w:asciiTheme="minorHAnsi" w:hAnsiTheme="minorHAnsi" w:cstheme="minorHAnsi"/>
              <w:color w:val="FFFFFF" w:themeColor="background1"/>
              <w:sz w:val="28"/>
              <w:szCs w:val="28"/>
            </w:rPr>
          </w:pPr>
          <w:r w:rsidRPr="00837A98">
            <w:rPr>
              <w:rStyle w:val="SOPLeader"/>
              <w:rFonts w:asciiTheme="minorHAnsi" w:hAnsiTheme="minorHAnsi" w:cstheme="minorHAnsi"/>
              <w:color w:val="FFFFFF" w:themeColor="background1"/>
              <w:sz w:val="28"/>
              <w:szCs w:val="28"/>
            </w:rPr>
            <w:t>IRB PROTOCOL REVIEW FEE POLICY</w:t>
          </w:r>
        </w:p>
        <w:p w14:paraId="05EAD175" w14:textId="77777777" w:rsidR="00666301" w:rsidRPr="00AF3C8B" w:rsidRDefault="00666301" w:rsidP="00666301">
          <w:pPr>
            <w:pStyle w:val="SOPName"/>
            <w:rPr>
              <w:rStyle w:val="SOPLeader"/>
              <w:rFonts w:asciiTheme="minorHAnsi" w:hAnsiTheme="minorHAnsi" w:cstheme="minorHAnsi"/>
              <w:sz w:val="28"/>
              <w:szCs w:val="28"/>
            </w:rPr>
          </w:pPr>
        </w:p>
      </w:tc>
    </w:tr>
    <w:tr w:rsidR="00837A98" w:rsidRPr="006520A8" w14:paraId="41C2169F" w14:textId="77777777" w:rsidTr="00837A98">
      <w:trPr>
        <w:cantSplit/>
        <w:trHeight w:val="247"/>
      </w:trPr>
      <w:tc>
        <w:tcPr>
          <w:tcW w:w="2556" w:type="dxa"/>
          <w:vMerge/>
          <w:tcBorders>
            <w:left w:val="single" w:sz="4" w:space="0" w:color="auto"/>
            <w:right w:val="single" w:sz="8" w:space="0" w:color="auto"/>
          </w:tcBorders>
        </w:tcPr>
        <w:p w14:paraId="601FB36F" w14:textId="77777777" w:rsidR="00837A98" w:rsidRPr="00837A98" w:rsidRDefault="00837A98" w:rsidP="00837A98">
          <w:pPr>
            <w:rPr>
              <w:b/>
            </w:rPr>
          </w:pPr>
        </w:p>
      </w:tc>
      <w:tc>
        <w:tcPr>
          <w:tcW w:w="1003" w:type="dxa"/>
          <w:tcBorders>
            <w:top w:val="single" w:sz="8" w:space="0" w:color="auto"/>
            <w:left w:val="single" w:sz="8" w:space="0" w:color="auto"/>
            <w:bottom w:val="single" w:sz="8" w:space="0" w:color="auto"/>
            <w:right w:val="single" w:sz="8" w:space="0" w:color="auto"/>
          </w:tcBorders>
          <w:shd w:val="clear" w:color="auto" w:fill="E7E6E6" w:themeFill="background2"/>
        </w:tcPr>
        <w:p w14:paraId="3B339F1D" w14:textId="1DAD16D0" w:rsidR="00837A98" w:rsidRPr="00837A98" w:rsidRDefault="00837A98" w:rsidP="00837A98">
          <w:pPr>
            <w:pStyle w:val="SOPTableHeader"/>
            <w:ind w:left="432"/>
            <w:rPr>
              <w:rFonts w:asciiTheme="minorHAnsi" w:hAnsiTheme="minorHAnsi" w:cstheme="minorHAnsi"/>
              <w:b/>
            </w:rPr>
          </w:pPr>
          <w:r w:rsidRPr="00837A98">
            <w:rPr>
              <w:b/>
            </w:rPr>
            <w:t>P &amp; P</w:t>
          </w:r>
        </w:p>
      </w:tc>
      <w:tc>
        <w:tcPr>
          <w:tcW w:w="1769" w:type="dxa"/>
          <w:tcBorders>
            <w:top w:val="single" w:sz="8" w:space="0" w:color="auto"/>
            <w:left w:val="single" w:sz="8" w:space="0" w:color="auto"/>
            <w:right w:val="single" w:sz="8" w:space="0" w:color="auto"/>
          </w:tcBorders>
          <w:shd w:val="clear" w:color="auto" w:fill="E7E6E6" w:themeFill="background2"/>
        </w:tcPr>
        <w:p w14:paraId="466BE3B1" w14:textId="7D311AD2" w:rsidR="00837A98" w:rsidRPr="00837A98" w:rsidRDefault="00837A98" w:rsidP="00837A98">
          <w:pPr>
            <w:pStyle w:val="SOPTableHeader"/>
            <w:ind w:left="432"/>
            <w:rPr>
              <w:rFonts w:asciiTheme="minorHAnsi" w:hAnsiTheme="minorHAnsi" w:cstheme="minorHAnsi"/>
              <w:b/>
            </w:rPr>
          </w:pPr>
          <w:r w:rsidRPr="00837A98">
            <w:rPr>
              <w:b/>
            </w:rPr>
            <w:t>VERSION DATE</w:t>
          </w:r>
        </w:p>
      </w:tc>
      <w:tc>
        <w:tcPr>
          <w:tcW w:w="1814" w:type="dxa"/>
          <w:tcBorders>
            <w:top w:val="single" w:sz="8" w:space="0" w:color="auto"/>
            <w:left w:val="single" w:sz="8" w:space="0" w:color="auto"/>
            <w:right w:val="single" w:sz="8" w:space="0" w:color="auto"/>
          </w:tcBorders>
          <w:shd w:val="clear" w:color="auto" w:fill="E7E6E6" w:themeFill="background2"/>
        </w:tcPr>
        <w:p w14:paraId="340AD412" w14:textId="027E1C10" w:rsidR="00837A98" w:rsidRPr="00837A98" w:rsidRDefault="00837A98" w:rsidP="00837A98">
          <w:pPr>
            <w:pStyle w:val="SOPTableEntry"/>
            <w:ind w:left="432"/>
            <w:rPr>
              <w:rFonts w:asciiTheme="minorHAnsi" w:hAnsiTheme="minorHAnsi" w:cstheme="minorHAnsi"/>
              <w:b/>
              <w:sz w:val="20"/>
            </w:rPr>
          </w:pPr>
          <w:r w:rsidRPr="00837A98">
            <w:rPr>
              <w:b/>
            </w:rPr>
            <w:t>REPLACES P &amp; P</w:t>
          </w:r>
        </w:p>
      </w:tc>
      <w:tc>
        <w:tcPr>
          <w:tcW w:w="2416" w:type="dxa"/>
          <w:tcBorders>
            <w:top w:val="single" w:sz="8" w:space="0" w:color="auto"/>
            <w:left w:val="single" w:sz="8" w:space="0" w:color="auto"/>
            <w:bottom w:val="single" w:sz="8" w:space="0" w:color="auto"/>
            <w:right w:val="single" w:sz="4" w:space="0" w:color="auto"/>
          </w:tcBorders>
          <w:shd w:val="clear" w:color="auto" w:fill="E7E6E6" w:themeFill="background2"/>
        </w:tcPr>
        <w:p w14:paraId="1E76770E" w14:textId="22054D88" w:rsidR="00837A98" w:rsidRPr="00837A98" w:rsidRDefault="00837A98" w:rsidP="00837A98">
          <w:pPr>
            <w:pStyle w:val="SOPTableHeader"/>
            <w:ind w:left="432"/>
            <w:rPr>
              <w:rFonts w:asciiTheme="minorHAnsi" w:hAnsiTheme="minorHAnsi" w:cstheme="minorHAnsi"/>
              <w:b/>
            </w:rPr>
          </w:pPr>
          <w:r w:rsidRPr="00837A98">
            <w:rPr>
              <w:b/>
            </w:rPr>
            <w:t>PREVIOUS VERSION DATE</w:t>
          </w:r>
        </w:p>
      </w:tc>
    </w:tr>
    <w:tr w:rsidR="00666301" w:rsidRPr="006520A8" w14:paraId="0F05A45B" w14:textId="77777777" w:rsidTr="00837A98">
      <w:trPr>
        <w:cantSplit/>
        <w:trHeight w:val="103"/>
      </w:trPr>
      <w:tc>
        <w:tcPr>
          <w:tcW w:w="2556" w:type="dxa"/>
          <w:vMerge/>
          <w:tcBorders>
            <w:left w:val="single" w:sz="4" w:space="0" w:color="auto"/>
            <w:bottom w:val="single" w:sz="4" w:space="0" w:color="auto"/>
            <w:right w:val="single" w:sz="8" w:space="0" w:color="auto"/>
          </w:tcBorders>
        </w:tcPr>
        <w:p w14:paraId="4DEAB6FD" w14:textId="77777777" w:rsidR="00666301" w:rsidRDefault="00666301" w:rsidP="00666301"/>
      </w:tc>
      <w:tc>
        <w:tcPr>
          <w:tcW w:w="1003" w:type="dxa"/>
          <w:tcBorders>
            <w:top w:val="single" w:sz="8" w:space="0" w:color="auto"/>
            <w:left w:val="single" w:sz="8" w:space="0" w:color="auto"/>
            <w:bottom w:val="single" w:sz="4" w:space="0" w:color="auto"/>
            <w:right w:val="single" w:sz="8" w:space="0" w:color="auto"/>
          </w:tcBorders>
          <w:vAlign w:val="center"/>
        </w:tcPr>
        <w:p w14:paraId="407AF0F6" w14:textId="2315E10E" w:rsidR="00666301" w:rsidRPr="008A1431" w:rsidRDefault="00632561" w:rsidP="00837A98">
          <w:pPr>
            <w:pStyle w:val="SOPTableEntry"/>
            <w:ind w:left="432"/>
            <w:rPr>
              <w:rFonts w:asciiTheme="minorHAnsi" w:hAnsiTheme="minorHAnsi" w:cstheme="minorHAnsi"/>
              <w:sz w:val="20"/>
            </w:rPr>
          </w:pPr>
          <w:r>
            <w:rPr>
              <w:rFonts w:asciiTheme="minorHAnsi" w:hAnsiTheme="minorHAnsi" w:cstheme="minorHAnsi"/>
              <w:sz w:val="20"/>
            </w:rPr>
            <w:t>2.0</w:t>
          </w:r>
          <w:r w:rsidR="00837A98">
            <w:rPr>
              <w:rFonts w:asciiTheme="minorHAnsi" w:hAnsiTheme="minorHAnsi" w:cstheme="minorHAnsi"/>
              <w:sz w:val="20"/>
            </w:rPr>
            <w:t>6</w:t>
          </w:r>
        </w:p>
      </w:tc>
      <w:tc>
        <w:tcPr>
          <w:tcW w:w="1769" w:type="dxa"/>
          <w:tcBorders>
            <w:left w:val="single" w:sz="8" w:space="0" w:color="auto"/>
            <w:bottom w:val="single" w:sz="4" w:space="0" w:color="auto"/>
            <w:right w:val="single" w:sz="8" w:space="0" w:color="auto"/>
          </w:tcBorders>
          <w:shd w:val="clear" w:color="auto" w:fill="auto"/>
          <w:vAlign w:val="center"/>
        </w:tcPr>
        <w:p w14:paraId="477ADA2B" w14:textId="41BCC29F" w:rsidR="00666301" w:rsidRPr="008A1431" w:rsidRDefault="000455AC" w:rsidP="000455AC">
          <w:pPr>
            <w:pStyle w:val="SOPTableEntry"/>
            <w:ind w:left="432"/>
            <w:rPr>
              <w:rFonts w:asciiTheme="minorHAnsi" w:hAnsiTheme="minorHAnsi" w:cstheme="minorHAnsi"/>
              <w:sz w:val="20"/>
            </w:rPr>
          </w:pPr>
          <w:r>
            <w:rPr>
              <w:rFonts w:asciiTheme="minorHAnsi" w:hAnsiTheme="minorHAnsi" w:cstheme="minorHAnsi"/>
              <w:sz w:val="20"/>
            </w:rPr>
            <w:t>11</w:t>
          </w:r>
          <w:r w:rsidR="000E1FC0">
            <w:rPr>
              <w:rFonts w:asciiTheme="minorHAnsi" w:hAnsiTheme="minorHAnsi" w:cstheme="minorHAnsi"/>
              <w:sz w:val="20"/>
            </w:rPr>
            <w:t>.</w:t>
          </w:r>
          <w:r>
            <w:rPr>
              <w:rFonts w:asciiTheme="minorHAnsi" w:hAnsiTheme="minorHAnsi" w:cstheme="minorHAnsi"/>
              <w:sz w:val="20"/>
            </w:rPr>
            <w:t>19</w:t>
          </w:r>
          <w:r w:rsidR="000E1FC0">
            <w:rPr>
              <w:rFonts w:asciiTheme="minorHAnsi" w:hAnsiTheme="minorHAnsi" w:cstheme="minorHAnsi"/>
              <w:sz w:val="20"/>
            </w:rPr>
            <w:t>.2020</w:t>
          </w:r>
        </w:p>
      </w:tc>
      <w:tc>
        <w:tcPr>
          <w:tcW w:w="1814" w:type="dxa"/>
          <w:tcBorders>
            <w:left w:val="single" w:sz="8" w:space="0" w:color="auto"/>
            <w:bottom w:val="single" w:sz="4" w:space="0" w:color="auto"/>
            <w:right w:val="single" w:sz="8" w:space="0" w:color="auto"/>
          </w:tcBorders>
          <w:shd w:val="clear" w:color="auto" w:fill="auto"/>
          <w:vAlign w:val="center"/>
        </w:tcPr>
        <w:p w14:paraId="4F10846E" w14:textId="687FB511" w:rsidR="00666301" w:rsidRPr="008A1431" w:rsidRDefault="00837A98" w:rsidP="00666301">
          <w:pPr>
            <w:pStyle w:val="SOPTableEntry"/>
            <w:ind w:left="432"/>
            <w:rPr>
              <w:rFonts w:asciiTheme="minorHAnsi" w:hAnsiTheme="minorHAnsi" w:cstheme="minorHAnsi"/>
              <w:sz w:val="20"/>
            </w:rPr>
          </w:pPr>
          <w:r>
            <w:rPr>
              <w:rFonts w:asciiTheme="minorHAnsi" w:hAnsiTheme="minorHAnsi" w:cstheme="minorHAnsi"/>
              <w:sz w:val="20"/>
            </w:rPr>
            <w:t>2.09</w:t>
          </w:r>
        </w:p>
      </w:tc>
      <w:tc>
        <w:tcPr>
          <w:tcW w:w="2416" w:type="dxa"/>
          <w:tcBorders>
            <w:top w:val="single" w:sz="8" w:space="0" w:color="auto"/>
            <w:left w:val="single" w:sz="8" w:space="0" w:color="auto"/>
            <w:bottom w:val="single" w:sz="4" w:space="0" w:color="auto"/>
            <w:right w:val="single" w:sz="4" w:space="0" w:color="auto"/>
          </w:tcBorders>
          <w:vAlign w:val="center"/>
        </w:tcPr>
        <w:p w14:paraId="47B53D83" w14:textId="1205C09F" w:rsidR="00666301" w:rsidRPr="008A1431" w:rsidRDefault="00837A98" w:rsidP="00666301">
          <w:pPr>
            <w:pStyle w:val="SOPTableEntry"/>
            <w:ind w:left="432"/>
            <w:rPr>
              <w:rFonts w:asciiTheme="minorHAnsi" w:hAnsiTheme="minorHAnsi" w:cstheme="minorHAnsi"/>
              <w:sz w:val="20"/>
            </w:rPr>
          </w:pPr>
          <w:r>
            <w:rPr>
              <w:rFonts w:asciiTheme="minorHAnsi" w:hAnsiTheme="minorHAnsi" w:cstheme="minorHAnsi"/>
              <w:sz w:val="20"/>
            </w:rPr>
            <w:t>02.07.2020</w:t>
          </w:r>
        </w:p>
      </w:tc>
    </w:tr>
  </w:tbl>
  <w:p w14:paraId="667F01C3" w14:textId="4B0C5868" w:rsidR="00666301" w:rsidRDefault="00666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334D"/>
    <w:multiLevelType w:val="multilevel"/>
    <w:tmpl w:val="8BBC1E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D8979F5"/>
    <w:multiLevelType w:val="hybridMultilevel"/>
    <w:tmpl w:val="8E105DEC"/>
    <w:lvl w:ilvl="0" w:tplc="5692A89E">
      <w:start w:val="1"/>
      <w:numFmt w:val="decimal"/>
      <w:lvlText w:val="%1.0"/>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04285A"/>
    <w:multiLevelType w:val="hybridMultilevel"/>
    <w:tmpl w:val="8446E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FC349A"/>
    <w:multiLevelType w:val="hybridMultilevel"/>
    <w:tmpl w:val="60B6B5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E8759B"/>
    <w:multiLevelType w:val="hybridMultilevel"/>
    <w:tmpl w:val="6CA4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D2DEE"/>
    <w:multiLevelType w:val="hybridMultilevel"/>
    <w:tmpl w:val="5E240C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0F91B8C"/>
    <w:multiLevelType w:val="hybridMultilevel"/>
    <w:tmpl w:val="E2E89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8A748DA"/>
    <w:multiLevelType w:val="hybridMultilevel"/>
    <w:tmpl w:val="97B0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76461D"/>
    <w:multiLevelType w:val="multilevel"/>
    <w:tmpl w:val="F70E72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99F67D8"/>
    <w:multiLevelType w:val="hybridMultilevel"/>
    <w:tmpl w:val="470AC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224062"/>
    <w:multiLevelType w:val="hybridMultilevel"/>
    <w:tmpl w:val="84D0AB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D71936"/>
    <w:multiLevelType w:val="hybridMultilevel"/>
    <w:tmpl w:val="81762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514E8"/>
    <w:multiLevelType w:val="hybridMultilevel"/>
    <w:tmpl w:val="4C025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53BA"/>
    <w:multiLevelType w:val="multilevel"/>
    <w:tmpl w:val="C8C02728"/>
    <w:lvl w:ilvl="0">
      <w:start w:val="1"/>
      <w:numFmt w:val="decimal"/>
      <w:lvlText w:val="%1.0"/>
      <w:lvlJc w:val="left"/>
      <w:pPr>
        <w:ind w:left="360" w:hanging="360"/>
      </w:pPr>
      <w:rPr>
        <w:rFonts w:hint="default"/>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DC5647E"/>
    <w:multiLevelType w:val="multilevel"/>
    <w:tmpl w:val="8DCA0B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452C5A84"/>
    <w:multiLevelType w:val="hybridMultilevel"/>
    <w:tmpl w:val="77BE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FC7"/>
    <w:multiLevelType w:val="hybridMultilevel"/>
    <w:tmpl w:val="E11A4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11974F7"/>
    <w:multiLevelType w:val="multilevel"/>
    <w:tmpl w:val="8DCA0B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52833CAC"/>
    <w:multiLevelType w:val="hybridMultilevel"/>
    <w:tmpl w:val="91EA6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85001EE"/>
    <w:multiLevelType w:val="hybridMultilevel"/>
    <w:tmpl w:val="8B223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9232AC6"/>
    <w:multiLevelType w:val="hybridMultilevel"/>
    <w:tmpl w:val="B64C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E485C"/>
    <w:multiLevelType w:val="hybridMultilevel"/>
    <w:tmpl w:val="19B6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4054E"/>
    <w:multiLevelType w:val="hybridMultilevel"/>
    <w:tmpl w:val="834EA934"/>
    <w:lvl w:ilvl="0" w:tplc="3E9A2630">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D468E"/>
    <w:multiLevelType w:val="hybridMultilevel"/>
    <w:tmpl w:val="11A07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4F6179"/>
    <w:multiLevelType w:val="hybridMultilevel"/>
    <w:tmpl w:val="C3C0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E6DA1"/>
    <w:multiLevelType w:val="hybridMultilevel"/>
    <w:tmpl w:val="7DC0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A1E7F"/>
    <w:multiLevelType w:val="hybridMultilevel"/>
    <w:tmpl w:val="8244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03828"/>
    <w:multiLevelType w:val="hybridMultilevel"/>
    <w:tmpl w:val="444459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24"/>
  </w:num>
  <w:num w:numId="6">
    <w:abstractNumId w:val="20"/>
  </w:num>
  <w:num w:numId="7">
    <w:abstractNumId w:val="12"/>
  </w:num>
  <w:num w:numId="8">
    <w:abstractNumId w:val="11"/>
  </w:num>
  <w:num w:numId="9">
    <w:abstractNumId w:val="25"/>
  </w:num>
  <w:num w:numId="10">
    <w:abstractNumId w:val="21"/>
  </w:num>
  <w:num w:numId="11">
    <w:abstractNumId w:val="13"/>
  </w:num>
  <w:num w:numId="12">
    <w:abstractNumId w:val="22"/>
  </w:num>
  <w:num w:numId="13">
    <w:abstractNumId w:val="1"/>
  </w:num>
  <w:num w:numId="14">
    <w:abstractNumId w:val="9"/>
  </w:num>
  <w:num w:numId="15">
    <w:abstractNumId w:val="23"/>
  </w:num>
  <w:num w:numId="16">
    <w:abstractNumId w:val="14"/>
  </w:num>
  <w:num w:numId="17">
    <w:abstractNumId w:val="16"/>
  </w:num>
  <w:num w:numId="18">
    <w:abstractNumId w:val="18"/>
  </w:num>
  <w:num w:numId="19">
    <w:abstractNumId w:val="17"/>
  </w:num>
  <w:num w:numId="20">
    <w:abstractNumId w:val="3"/>
  </w:num>
  <w:num w:numId="21">
    <w:abstractNumId w:val="5"/>
  </w:num>
  <w:num w:numId="22">
    <w:abstractNumId w:val="19"/>
  </w:num>
  <w:num w:numId="23">
    <w:abstractNumId w:val="6"/>
  </w:num>
  <w:num w:numId="24">
    <w:abstractNumId w:val="27"/>
  </w:num>
  <w:num w:numId="25">
    <w:abstractNumId w:val="2"/>
  </w:num>
  <w:num w:numId="26">
    <w:abstractNumId w:val="15"/>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fTvwdb7z6A2WCMAOsz6O67PkwfvY30wCTVCZrXbhW0RczWEuzk53jte4AmbA7obDIt6uPWwvBILq/eS58YdriA==" w:salt="tnZDmFlRqCky23T3yTDXf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6F"/>
    <w:rsid w:val="00043FB3"/>
    <w:rsid w:val="000455AC"/>
    <w:rsid w:val="00076E47"/>
    <w:rsid w:val="000C30DB"/>
    <w:rsid w:val="000C3BEF"/>
    <w:rsid w:val="000D528A"/>
    <w:rsid w:val="000E1FC0"/>
    <w:rsid w:val="001314C1"/>
    <w:rsid w:val="00190B75"/>
    <w:rsid w:val="00196376"/>
    <w:rsid w:val="001D3C0F"/>
    <w:rsid w:val="00294631"/>
    <w:rsid w:val="002C24AA"/>
    <w:rsid w:val="003070C7"/>
    <w:rsid w:val="00320381"/>
    <w:rsid w:val="00340695"/>
    <w:rsid w:val="00364DB8"/>
    <w:rsid w:val="0038542E"/>
    <w:rsid w:val="003A65A4"/>
    <w:rsid w:val="00444FC7"/>
    <w:rsid w:val="0049701A"/>
    <w:rsid w:val="004A79E2"/>
    <w:rsid w:val="00525BBF"/>
    <w:rsid w:val="0052717B"/>
    <w:rsid w:val="00590C96"/>
    <w:rsid w:val="005A3CCF"/>
    <w:rsid w:val="005E1EC8"/>
    <w:rsid w:val="00602540"/>
    <w:rsid w:val="0062102C"/>
    <w:rsid w:val="00632561"/>
    <w:rsid w:val="0064603A"/>
    <w:rsid w:val="00666301"/>
    <w:rsid w:val="006D05D4"/>
    <w:rsid w:val="006D1388"/>
    <w:rsid w:val="0070402D"/>
    <w:rsid w:val="00723459"/>
    <w:rsid w:val="007709A2"/>
    <w:rsid w:val="0079455C"/>
    <w:rsid w:val="007A78C8"/>
    <w:rsid w:val="007B326F"/>
    <w:rsid w:val="007D0C4C"/>
    <w:rsid w:val="007D40E9"/>
    <w:rsid w:val="007E59DF"/>
    <w:rsid w:val="008014EA"/>
    <w:rsid w:val="00837A98"/>
    <w:rsid w:val="008526DF"/>
    <w:rsid w:val="008776CF"/>
    <w:rsid w:val="008C4AC1"/>
    <w:rsid w:val="008D670B"/>
    <w:rsid w:val="009349BC"/>
    <w:rsid w:val="00A67347"/>
    <w:rsid w:val="00AB1BE2"/>
    <w:rsid w:val="00AB2093"/>
    <w:rsid w:val="00AC649C"/>
    <w:rsid w:val="00B33230"/>
    <w:rsid w:val="00B91017"/>
    <w:rsid w:val="00B95181"/>
    <w:rsid w:val="00BE24C0"/>
    <w:rsid w:val="00BE3B60"/>
    <w:rsid w:val="00C714B3"/>
    <w:rsid w:val="00C80F59"/>
    <w:rsid w:val="00CA50C3"/>
    <w:rsid w:val="00D423C5"/>
    <w:rsid w:val="00D45998"/>
    <w:rsid w:val="00DB087B"/>
    <w:rsid w:val="00E14FF7"/>
    <w:rsid w:val="00E440FF"/>
    <w:rsid w:val="00E61017"/>
    <w:rsid w:val="00EA116B"/>
    <w:rsid w:val="00EB2589"/>
    <w:rsid w:val="00EC0EBA"/>
    <w:rsid w:val="00FA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58C2B7"/>
  <w15:chartTrackingRefBased/>
  <w15:docId w15:val="{8240CFC7-59A0-4912-B600-379BA5EF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599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26F"/>
    <w:pPr>
      <w:ind w:left="720"/>
      <w:contextualSpacing/>
    </w:pPr>
  </w:style>
  <w:style w:type="character" w:styleId="Hyperlink">
    <w:name w:val="Hyperlink"/>
    <w:basedOn w:val="DefaultParagraphFont"/>
    <w:uiPriority w:val="99"/>
    <w:semiHidden/>
    <w:unhideWhenUsed/>
    <w:rsid w:val="00340695"/>
    <w:rPr>
      <w:color w:val="0000FF"/>
      <w:u w:val="single"/>
    </w:rPr>
  </w:style>
  <w:style w:type="paragraph" w:styleId="Header">
    <w:name w:val="header"/>
    <w:basedOn w:val="Normal"/>
    <w:link w:val="HeaderChar"/>
    <w:uiPriority w:val="99"/>
    <w:unhideWhenUsed/>
    <w:rsid w:val="00666301"/>
    <w:pPr>
      <w:tabs>
        <w:tab w:val="center" w:pos="4680"/>
        <w:tab w:val="right" w:pos="9360"/>
      </w:tabs>
    </w:pPr>
  </w:style>
  <w:style w:type="character" w:customStyle="1" w:styleId="HeaderChar">
    <w:name w:val="Header Char"/>
    <w:basedOn w:val="DefaultParagraphFont"/>
    <w:link w:val="Header"/>
    <w:uiPriority w:val="99"/>
    <w:rsid w:val="00666301"/>
  </w:style>
  <w:style w:type="paragraph" w:styleId="Footer">
    <w:name w:val="footer"/>
    <w:basedOn w:val="Normal"/>
    <w:link w:val="FooterChar"/>
    <w:uiPriority w:val="99"/>
    <w:unhideWhenUsed/>
    <w:rsid w:val="00666301"/>
    <w:pPr>
      <w:tabs>
        <w:tab w:val="center" w:pos="4680"/>
        <w:tab w:val="right" w:pos="9360"/>
      </w:tabs>
    </w:pPr>
  </w:style>
  <w:style w:type="character" w:customStyle="1" w:styleId="FooterChar">
    <w:name w:val="Footer Char"/>
    <w:basedOn w:val="DefaultParagraphFont"/>
    <w:link w:val="Footer"/>
    <w:uiPriority w:val="99"/>
    <w:rsid w:val="00666301"/>
  </w:style>
  <w:style w:type="character" w:customStyle="1" w:styleId="SOPLeader">
    <w:name w:val="SOP Leader"/>
    <w:rsid w:val="00666301"/>
    <w:rPr>
      <w:rFonts w:ascii="Calibri" w:hAnsi="Calibri"/>
      <w:b/>
      <w:sz w:val="24"/>
    </w:rPr>
  </w:style>
  <w:style w:type="paragraph" w:customStyle="1" w:styleId="SOPName">
    <w:name w:val="SOP Name"/>
    <w:basedOn w:val="Normal"/>
    <w:rsid w:val="00666301"/>
    <w:pPr>
      <w:ind w:left="1152" w:hanging="432"/>
    </w:pPr>
    <w:rPr>
      <w:rFonts w:ascii="Calibri" w:eastAsia="Times New Roman" w:hAnsi="Calibri" w:cs="Tahoma"/>
      <w:sz w:val="24"/>
      <w:szCs w:val="20"/>
    </w:rPr>
  </w:style>
  <w:style w:type="paragraph" w:customStyle="1" w:styleId="SOPTableHeader">
    <w:name w:val="SOP Table Header"/>
    <w:basedOn w:val="Normal"/>
    <w:rsid w:val="00666301"/>
    <w:pPr>
      <w:ind w:left="1152" w:hanging="432"/>
      <w:jc w:val="center"/>
    </w:pPr>
    <w:rPr>
      <w:rFonts w:ascii="Calibri" w:eastAsia="Times New Roman" w:hAnsi="Calibri" w:cs="Tahoma"/>
      <w:sz w:val="20"/>
      <w:szCs w:val="20"/>
    </w:rPr>
  </w:style>
  <w:style w:type="paragraph" w:customStyle="1" w:styleId="SOPTableEntry">
    <w:name w:val="SOP Table Entry"/>
    <w:basedOn w:val="SOPTableHeader"/>
    <w:rsid w:val="00666301"/>
    <w:rPr>
      <w:sz w:val="18"/>
    </w:rPr>
  </w:style>
  <w:style w:type="character" w:styleId="CommentReference">
    <w:name w:val="annotation reference"/>
    <w:basedOn w:val="DefaultParagraphFont"/>
    <w:uiPriority w:val="99"/>
    <w:semiHidden/>
    <w:unhideWhenUsed/>
    <w:rsid w:val="0049701A"/>
    <w:rPr>
      <w:sz w:val="16"/>
      <w:szCs w:val="16"/>
    </w:rPr>
  </w:style>
  <w:style w:type="paragraph" w:styleId="CommentText">
    <w:name w:val="annotation text"/>
    <w:basedOn w:val="Normal"/>
    <w:link w:val="CommentTextChar"/>
    <w:uiPriority w:val="99"/>
    <w:unhideWhenUsed/>
    <w:rsid w:val="0049701A"/>
    <w:rPr>
      <w:sz w:val="20"/>
      <w:szCs w:val="20"/>
    </w:rPr>
  </w:style>
  <w:style w:type="character" w:customStyle="1" w:styleId="CommentTextChar">
    <w:name w:val="Comment Text Char"/>
    <w:basedOn w:val="DefaultParagraphFont"/>
    <w:link w:val="CommentText"/>
    <w:uiPriority w:val="99"/>
    <w:rsid w:val="0049701A"/>
    <w:rPr>
      <w:sz w:val="20"/>
      <w:szCs w:val="20"/>
    </w:rPr>
  </w:style>
  <w:style w:type="paragraph" w:styleId="CommentSubject">
    <w:name w:val="annotation subject"/>
    <w:basedOn w:val="CommentText"/>
    <w:next w:val="CommentText"/>
    <w:link w:val="CommentSubjectChar"/>
    <w:uiPriority w:val="99"/>
    <w:semiHidden/>
    <w:unhideWhenUsed/>
    <w:rsid w:val="0049701A"/>
    <w:rPr>
      <w:b/>
      <w:bCs/>
    </w:rPr>
  </w:style>
  <w:style w:type="character" w:customStyle="1" w:styleId="CommentSubjectChar">
    <w:name w:val="Comment Subject Char"/>
    <w:basedOn w:val="CommentTextChar"/>
    <w:link w:val="CommentSubject"/>
    <w:uiPriority w:val="99"/>
    <w:semiHidden/>
    <w:rsid w:val="0049701A"/>
    <w:rPr>
      <w:b/>
      <w:bCs/>
      <w:sz w:val="20"/>
      <w:szCs w:val="20"/>
    </w:rPr>
  </w:style>
  <w:style w:type="paragraph" w:styleId="BalloonText">
    <w:name w:val="Balloon Text"/>
    <w:basedOn w:val="Normal"/>
    <w:link w:val="BalloonTextChar"/>
    <w:uiPriority w:val="99"/>
    <w:semiHidden/>
    <w:unhideWhenUsed/>
    <w:rsid w:val="00497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01A"/>
    <w:rPr>
      <w:rFonts w:ascii="Segoe UI" w:hAnsi="Segoe UI" w:cs="Segoe UI"/>
      <w:sz w:val="18"/>
      <w:szCs w:val="18"/>
    </w:rPr>
  </w:style>
  <w:style w:type="character" w:customStyle="1" w:styleId="Heading1Char">
    <w:name w:val="Heading 1 Char"/>
    <w:basedOn w:val="DefaultParagraphFont"/>
    <w:link w:val="Heading1"/>
    <w:uiPriority w:val="9"/>
    <w:rsid w:val="00D459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7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uhsc.edu/administration/academic/ors/docs/IRB%20PROTOCOL%20REVIEW%20FEE%20Schedule_4.26.1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suhsc.edu/administration/academic/ors/docs/IRB%20PROTOCOL%20REVIEW%20FEE%20Schedule_4.26.18.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36B52-AF53-4C4B-918C-488388BD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3319</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3</cp:revision>
  <cp:lastPrinted>2020-02-07T13:34:00Z</cp:lastPrinted>
  <dcterms:created xsi:type="dcterms:W3CDTF">2020-11-19T22:15:00Z</dcterms:created>
  <dcterms:modified xsi:type="dcterms:W3CDTF">2020-11-19T22:34:00Z</dcterms:modified>
</cp:coreProperties>
</file>