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E6CDC" w14:textId="453D7EE0" w:rsidR="00A16E01" w:rsidRPr="00A16E01" w:rsidRDefault="00A16E01" w:rsidP="00A16E01">
      <w:pPr>
        <w:pStyle w:val="NoSpacing"/>
        <w:spacing w:after="200"/>
        <w:jc w:val="left"/>
        <w:rPr>
          <w:rFonts w:asciiTheme="minorHAnsi" w:hAnsiTheme="minorHAnsi" w:cstheme="minorHAnsi"/>
          <w:sz w:val="22"/>
          <w:szCs w:val="22"/>
        </w:rPr>
      </w:pPr>
      <w:r w:rsidRPr="00A16E01">
        <w:rPr>
          <w:rFonts w:asciiTheme="minorHAnsi" w:hAnsiTheme="minorHAnsi" w:cstheme="minorHAnsi"/>
          <w:sz w:val="22"/>
          <w:szCs w:val="22"/>
        </w:rPr>
        <w:t xml:space="preserve">The written procedures and guidelines of the IRB are maintained in the “LSU Health Sciences Center-New Orleans Human Research Protection Program </w:t>
      </w:r>
      <w:r w:rsidRPr="00A16E01">
        <w:rPr>
          <w:rFonts w:asciiTheme="minorHAnsi" w:hAnsiTheme="minorHAnsi" w:cstheme="minorHAnsi"/>
          <w:sz w:val="22"/>
          <w:szCs w:val="22"/>
          <w:lang w:val="en-CA"/>
        </w:rPr>
        <w:t xml:space="preserve">Institutional Review Board </w:t>
      </w:r>
      <w:r w:rsidRPr="00A16E01">
        <w:rPr>
          <w:rFonts w:asciiTheme="minorHAnsi" w:hAnsiTheme="minorHAnsi" w:cstheme="minorHAnsi"/>
          <w:sz w:val="22"/>
          <w:szCs w:val="22"/>
          <w:lang w:val="en-CA"/>
        </w:rPr>
        <w:fldChar w:fldCharType="begin"/>
      </w:r>
      <w:r w:rsidRPr="00A16E01">
        <w:rPr>
          <w:rFonts w:asciiTheme="minorHAnsi" w:hAnsiTheme="minorHAnsi" w:cstheme="minorHAnsi"/>
          <w:sz w:val="22"/>
          <w:szCs w:val="22"/>
          <w:lang w:val="en-CA"/>
        </w:rPr>
        <w:instrText xml:space="preserve"> SEQ CHAPTER \h \r 1</w:instrText>
      </w:r>
      <w:r w:rsidRPr="00A16E01">
        <w:rPr>
          <w:rFonts w:asciiTheme="minorHAnsi" w:hAnsiTheme="minorHAnsi" w:cstheme="minorHAnsi"/>
          <w:sz w:val="22"/>
          <w:szCs w:val="22"/>
          <w:lang w:val="en-CA"/>
        </w:rPr>
        <w:fldChar w:fldCharType="end"/>
      </w:r>
      <w:r w:rsidRPr="00A16E01">
        <w:rPr>
          <w:rFonts w:asciiTheme="minorHAnsi" w:hAnsiTheme="minorHAnsi" w:cstheme="minorHAnsi"/>
          <w:bCs/>
          <w:sz w:val="22"/>
          <w:szCs w:val="22"/>
        </w:rPr>
        <w:t>Policies and Procedures</w:t>
      </w:r>
      <w:r w:rsidRPr="00A16E01">
        <w:rPr>
          <w:rFonts w:asciiTheme="minorHAnsi" w:hAnsiTheme="minorHAnsi" w:cstheme="minorHAnsi"/>
          <w:sz w:val="22"/>
          <w:szCs w:val="22"/>
        </w:rPr>
        <w:t xml:space="preserve"> Guidebook” at </w:t>
      </w:r>
      <w:hyperlink r:id="rId8" w:history="1">
        <w:r w:rsidRPr="00A16E01">
          <w:rPr>
            <w:rStyle w:val="Hyperlink"/>
            <w:rFonts w:asciiTheme="minorHAnsi" w:hAnsiTheme="minorHAnsi" w:cstheme="minorHAnsi"/>
            <w:sz w:val="22"/>
            <w:szCs w:val="22"/>
          </w:rPr>
          <w:t>http://www.lsuhsc.edu/administration/academic/ors/irb.aspx</w:t>
        </w:r>
      </w:hyperlink>
      <w:r w:rsidRPr="00A16E01">
        <w:rPr>
          <w:rFonts w:asciiTheme="minorHAnsi" w:hAnsiTheme="minorHAnsi" w:cstheme="minorHAnsi"/>
          <w:sz w:val="22"/>
          <w:szCs w:val="22"/>
        </w:rPr>
        <w:t>.</w:t>
      </w:r>
    </w:p>
    <w:p w14:paraId="5C62F6AE" w14:textId="77777777" w:rsidR="00A16E01" w:rsidRPr="00A16E01" w:rsidRDefault="00A16E01" w:rsidP="00A16E01">
      <w:pPr>
        <w:pStyle w:val="Default"/>
        <w:jc w:val="left"/>
        <w:rPr>
          <w:rFonts w:asciiTheme="minorHAnsi" w:hAnsiTheme="minorHAnsi" w:cstheme="minorHAnsi"/>
        </w:rPr>
      </w:pPr>
      <w:r w:rsidRPr="00A16E01">
        <w:rPr>
          <w:rFonts w:asciiTheme="minorHAnsi" w:hAnsiTheme="minorHAnsi" w:cstheme="minorHAnsi"/>
          <w:sz w:val="22"/>
          <w:szCs w:val="22"/>
        </w:rPr>
        <w:t>The IRB maintains an electronic and a written file for each pending and approved protocol. Combined materials contained in these files comprise the official Protocol File for a study. Written documentation of communication between the investigator and the IRB are maintained in this Protocol File. All correspondence, regardless of the source, including all correspondence between the investigator and the IRB, is maintained in the Protocol File. In order to allow a reconstruction of a complete history of IRB actions related to the review and approval of the protocol, the IRB records include copies of the Investigator brochure, if any; scientific evaluations, when provided by an entity other than the IRB; recruitment materials; consent documents; progress reports submitted by researchers; reports of injuries to participants; records of continuing review activities; data and safety monitoring reports, if any; modifications to previously-approved research; unanticipated problems involving risks to participants or others; documentation of non-compliance; significant new findings; records for initial and continuing review of research by the expedited procedure, which include the justification for using the expedited procedure, actions taken by the reviewer, and any findings required by laws, regulations, codes, and guidance to be documented; the justification for exempt determinations.</w:t>
      </w:r>
    </w:p>
    <w:p w14:paraId="5B9E6B58" w14:textId="77777777" w:rsidR="00A16E01" w:rsidRPr="00A16E01" w:rsidRDefault="00A16E01" w:rsidP="00A16E01">
      <w:pPr>
        <w:pStyle w:val="Default"/>
        <w:jc w:val="left"/>
        <w:rPr>
          <w:rFonts w:asciiTheme="minorHAnsi" w:hAnsiTheme="minorHAnsi" w:cstheme="minorHAnsi"/>
          <w:sz w:val="23"/>
          <w:szCs w:val="23"/>
        </w:rPr>
      </w:pPr>
    </w:p>
    <w:p w14:paraId="6788EBA7" w14:textId="77777777" w:rsidR="00A16E01" w:rsidRPr="00A16E01" w:rsidRDefault="00A16E01" w:rsidP="00A16E01">
      <w:pPr>
        <w:pStyle w:val="Default"/>
        <w:jc w:val="left"/>
        <w:rPr>
          <w:rFonts w:asciiTheme="minorHAnsi" w:hAnsiTheme="minorHAnsi" w:cstheme="minorHAnsi"/>
          <w:sz w:val="22"/>
          <w:szCs w:val="22"/>
        </w:rPr>
      </w:pPr>
      <w:r w:rsidRPr="00A16E01">
        <w:rPr>
          <w:rFonts w:asciiTheme="minorHAnsi" w:hAnsiTheme="minorHAnsi" w:cstheme="minorHAnsi"/>
          <w:sz w:val="22"/>
          <w:szCs w:val="22"/>
        </w:rPr>
        <w:t xml:space="preserve">These documents create a complete record of a protocol and its activity. Note that all correspondence between the investigator and the FDA and/or OHRP must be copied to the IRB and will be maintained in the IRB protocol files. </w:t>
      </w:r>
    </w:p>
    <w:p w14:paraId="0AC559F6" w14:textId="77777777" w:rsidR="00A16E01" w:rsidRPr="00A16E01" w:rsidRDefault="00A16E01" w:rsidP="00A16E01">
      <w:pPr>
        <w:pStyle w:val="Default"/>
        <w:jc w:val="left"/>
        <w:rPr>
          <w:rFonts w:asciiTheme="minorHAnsi" w:hAnsiTheme="minorHAnsi" w:cstheme="minorHAnsi"/>
          <w:sz w:val="22"/>
          <w:szCs w:val="22"/>
        </w:rPr>
      </w:pPr>
    </w:p>
    <w:p w14:paraId="5018E23F" w14:textId="77777777" w:rsidR="00A16E01" w:rsidRPr="00A16E01" w:rsidRDefault="00A16E01" w:rsidP="00A16E01">
      <w:pPr>
        <w:pStyle w:val="Default"/>
        <w:jc w:val="left"/>
        <w:rPr>
          <w:rFonts w:asciiTheme="minorHAnsi" w:hAnsiTheme="minorHAnsi" w:cstheme="minorHAnsi"/>
          <w:sz w:val="22"/>
          <w:szCs w:val="22"/>
        </w:rPr>
      </w:pPr>
      <w:r w:rsidRPr="00A16E01">
        <w:rPr>
          <w:rFonts w:asciiTheme="minorHAnsi" w:hAnsiTheme="minorHAnsi" w:cstheme="minorHAnsi"/>
          <w:sz w:val="22"/>
          <w:szCs w:val="22"/>
        </w:rPr>
        <w:t xml:space="preserve">IRB records are accessible for inspection and copying by authorized representatives of federal agencies or departments at reasonable times and in a reasonable manner. </w:t>
      </w:r>
    </w:p>
    <w:p w14:paraId="65AC6759" w14:textId="77777777" w:rsidR="00A16E01" w:rsidRPr="00A16E01" w:rsidRDefault="00A16E01" w:rsidP="00A16E01">
      <w:pPr>
        <w:pStyle w:val="Default"/>
        <w:jc w:val="left"/>
        <w:rPr>
          <w:rFonts w:asciiTheme="minorHAnsi" w:hAnsiTheme="minorHAnsi" w:cstheme="minorHAnsi"/>
          <w:sz w:val="22"/>
          <w:szCs w:val="22"/>
        </w:rPr>
      </w:pPr>
    </w:p>
    <w:p w14:paraId="2205A0B8" w14:textId="77777777" w:rsidR="00A16E01" w:rsidRPr="00A16E01" w:rsidRDefault="00A16E01" w:rsidP="00A16E01">
      <w:pPr>
        <w:pStyle w:val="Default"/>
        <w:jc w:val="left"/>
        <w:rPr>
          <w:rFonts w:asciiTheme="minorHAnsi" w:hAnsiTheme="minorHAnsi" w:cstheme="minorHAnsi"/>
          <w:sz w:val="22"/>
          <w:szCs w:val="22"/>
        </w:rPr>
      </w:pPr>
      <w:r w:rsidRPr="00A16E01">
        <w:rPr>
          <w:rFonts w:asciiTheme="minorHAnsi" w:hAnsiTheme="minorHAnsi" w:cstheme="minorHAnsi"/>
          <w:sz w:val="22"/>
          <w:szCs w:val="22"/>
        </w:rPr>
        <w:t xml:space="preserve">In compliance with Louisiana State Law, protocol files are maintained for ten years following closure of the study, at which time the files are destroyed. If a protocol is cancelled without participant enrollment, IRB records are maintained for at least three years after cancellation </w:t>
      </w:r>
    </w:p>
    <w:p w14:paraId="4CF36F16" w14:textId="77777777" w:rsidR="00A16E01" w:rsidRPr="00A16E01" w:rsidRDefault="00A16E01" w:rsidP="00A16E01">
      <w:pPr>
        <w:pStyle w:val="NoSpacing"/>
        <w:keepNext/>
        <w:keepLines/>
        <w:jc w:val="left"/>
        <w:rPr>
          <w:rFonts w:asciiTheme="minorHAnsi" w:hAnsiTheme="minorHAnsi" w:cstheme="minorHAnsi"/>
          <w:sz w:val="22"/>
          <w:szCs w:val="22"/>
        </w:rPr>
      </w:pPr>
    </w:p>
    <w:p w14:paraId="31F97A55" w14:textId="77777777" w:rsidR="00A16E01" w:rsidRPr="00A16E01" w:rsidRDefault="00A16E01" w:rsidP="00A16E01">
      <w:pPr>
        <w:pStyle w:val="NoSpacing"/>
        <w:keepNext/>
        <w:keepLines/>
        <w:jc w:val="left"/>
        <w:rPr>
          <w:rFonts w:asciiTheme="minorHAnsi" w:hAnsiTheme="minorHAnsi" w:cstheme="minorHAnsi"/>
          <w:sz w:val="22"/>
          <w:szCs w:val="22"/>
        </w:rPr>
      </w:pPr>
      <w:r w:rsidRPr="00A16E01">
        <w:rPr>
          <w:rFonts w:asciiTheme="minorHAnsi" w:hAnsiTheme="minorHAnsi" w:cstheme="minorHAnsi"/>
          <w:sz w:val="22"/>
          <w:szCs w:val="22"/>
        </w:rPr>
        <w:t xml:space="preserve">Any pending study is administratively rescinded and destroyed if communications are not received from the principal investigator within a two-month period following a request for information. A new application must then be submitted if further consideration is desired of the Board. </w:t>
      </w:r>
    </w:p>
    <w:p w14:paraId="4AD6D277" w14:textId="77777777" w:rsidR="00A16E01" w:rsidRPr="00A16E01" w:rsidRDefault="00A16E01" w:rsidP="00A16E01">
      <w:pPr>
        <w:pStyle w:val="NoSpacing"/>
        <w:keepNext/>
        <w:keepLines/>
        <w:jc w:val="left"/>
        <w:rPr>
          <w:rFonts w:asciiTheme="minorHAnsi" w:hAnsiTheme="minorHAnsi" w:cstheme="minorHAnsi"/>
          <w:sz w:val="22"/>
          <w:szCs w:val="22"/>
        </w:rPr>
      </w:pPr>
    </w:p>
    <w:p w14:paraId="2E54F2ED" w14:textId="77777777" w:rsidR="00A16E01" w:rsidRPr="00A16E01" w:rsidRDefault="00A16E01" w:rsidP="00A16E01">
      <w:pPr>
        <w:pStyle w:val="Default"/>
        <w:jc w:val="left"/>
        <w:rPr>
          <w:rFonts w:asciiTheme="minorHAnsi" w:hAnsiTheme="minorHAnsi" w:cstheme="minorHAnsi"/>
          <w:sz w:val="22"/>
          <w:szCs w:val="22"/>
        </w:rPr>
      </w:pPr>
      <w:r w:rsidRPr="00A16E01">
        <w:rPr>
          <w:rFonts w:asciiTheme="minorHAnsi" w:hAnsiTheme="minorHAnsi" w:cstheme="minorHAnsi"/>
          <w:sz w:val="22"/>
          <w:szCs w:val="22"/>
        </w:rPr>
        <w:t>All actions of the Board are documented in the minutes of each convened meeting as required by the current policies and Federal regulations at 45CFR46.115(a)(2) and 21CFR56.115(a)(2). IRB minutes document actions taken by the IRB; separate deliberations for each action; votes for each protocol as numbers for, against, or abstaining; attendance at the meeting; when an alternate member replaces a primary member; the basis for requiring changes in research; the basis for disapproving research; a written summary of the discussion of controverted issues and their resolution; for initial and continuing review, the approval period; the names of IRB or EC members who leave the meeting because of a conflict of interest along with the fact that a conflict of interest is the reason for the absence; required determinations and protocol-specific findings justifying determinations for a waiver or alteration of the consent process, research involving pregnant women, fetuses, and neonates, prisoners, children, or participants with diminished capacity.</w:t>
      </w:r>
    </w:p>
    <w:p w14:paraId="0BF843D2" w14:textId="77777777" w:rsidR="00A16E01" w:rsidRPr="00A16E01" w:rsidRDefault="00A16E01" w:rsidP="00A16E01">
      <w:pPr>
        <w:pStyle w:val="Default"/>
        <w:jc w:val="left"/>
        <w:rPr>
          <w:rFonts w:asciiTheme="minorHAnsi" w:hAnsiTheme="minorHAnsi" w:cstheme="minorHAnsi"/>
        </w:rPr>
      </w:pPr>
    </w:p>
    <w:p w14:paraId="1933D064" w14:textId="19026EEB" w:rsidR="00AC649C" w:rsidRDefault="00A16E01" w:rsidP="00A16E01">
      <w:pPr>
        <w:rPr>
          <w:rFonts w:cstheme="minorHAnsi"/>
        </w:rPr>
      </w:pPr>
      <w:r w:rsidRPr="00A16E01">
        <w:rPr>
          <w:rFonts w:cstheme="minorHAnsi"/>
        </w:rPr>
        <w:t>Minutes are prepared by the staff and reviewed by the Chair or designee for completeness prior to presentation to the Board for review and approval. Board-approved versions of the minutes are maintained in the office of the HRPP, and electronically on the server. Documentation of actions taken by the Chair through expedited procedures are attached to</w:t>
      </w:r>
      <w:r>
        <w:rPr>
          <w:rFonts w:cstheme="minorHAnsi"/>
        </w:rPr>
        <w:t xml:space="preserve"> and made a part of the minutes</w:t>
      </w:r>
      <w:r w:rsidR="001F567D">
        <w:rPr>
          <w:rFonts w:cstheme="minorHAnsi"/>
        </w:rPr>
        <w:t>.</w:t>
      </w:r>
    </w:p>
    <w:p w14:paraId="0D65DC94" w14:textId="56975221" w:rsidR="001F567D" w:rsidRDefault="001F567D" w:rsidP="00A16E01">
      <w:pPr>
        <w:rPr>
          <w:rFonts w:cstheme="minorHAnsi"/>
        </w:rPr>
      </w:pPr>
    </w:p>
    <w:p w14:paraId="0636A544" w14:textId="7E79129C" w:rsidR="001F567D" w:rsidRDefault="001F567D" w:rsidP="00A16E01">
      <w:pPr>
        <w:rPr>
          <w:rFonts w:cstheme="minorHAnsi"/>
        </w:rPr>
      </w:pPr>
    </w:p>
    <w:p w14:paraId="05CBF2AC" w14:textId="55461FBF" w:rsidR="001F567D" w:rsidRDefault="001F567D" w:rsidP="00A16E01">
      <w:pPr>
        <w:rPr>
          <w:rFonts w:cstheme="minorHAnsi"/>
        </w:rPr>
      </w:pPr>
    </w:p>
    <w:p w14:paraId="7E3CB6AD" w14:textId="61BEFEC4" w:rsidR="001F567D" w:rsidRDefault="001F567D" w:rsidP="00A16E01">
      <w:pPr>
        <w:rPr>
          <w:rFonts w:cstheme="minorHAnsi"/>
        </w:rPr>
      </w:pPr>
    </w:p>
    <w:p w14:paraId="77408F73" w14:textId="7E825D69" w:rsidR="001F567D" w:rsidRDefault="001F567D" w:rsidP="00A16E01">
      <w:pPr>
        <w:rPr>
          <w:rFonts w:cstheme="minorHAnsi"/>
        </w:rPr>
      </w:pPr>
    </w:p>
    <w:p w14:paraId="6A469395" w14:textId="26147109" w:rsidR="001F567D" w:rsidRDefault="001F567D" w:rsidP="00A16E01">
      <w:pPr>
        <w:rPr>
          <w:rFonts w:cstheme="minorHAnsi"/>
        </w:rPr>
      </w:pPr>
    </w:p>
    <w:p w14:paraId="79411FE3" w14:textId="780DCDEB" w:rsidR="001F567D" w:rsidRDefault="001F567D" w:rsidP="00A16E01">
      <w:pPr>
        <w:rPr>
          <w:rFonts w:cstheme="minorHAnsi"/>
        </w:rPr>
      </w:pPr>
    </w:p>
    <w:p w14:paraId="44A1A9AE" w14:textId="186BF89C" w:rsidR="001F567D" w:rsidRDefault="001F567D" w:rsidP="00A16E01">
      <w:pPr>
        <w:rPr>
          <w:rFonts w:cstheme="minorHAnsi"/>
        </w:rPr>
      </w:pPr>
    </w:p>
    <w:p w14:paraId="012D379E" w14:textId="778FE97D" w:rsidR="001F567D" w:rsidRDefault="001F567D" w:rsidP="00A16E01">
      <w:pPr>
        <w:rPr>
          <w:rFonts w:cstheme="minorHAnsi"/>
        </w:rPr>
      </w:pPr>
    </w:p>
    <w:p w14:paraId="66FD53CC" w14:textId="636DF7D2" w:rsidR="001F567D" w:rsidRDefault="001F567D" w:rsidP="00A16E01">
      <w:pPr>
        <w:rPr>
          <w:rFonts w:cstheme="minorHAnsi"/>
        </w:rPr>
      </w:pPr>
    </w:p>
    <w:p w14:paraId="0CC91E97" w14:textId="314D7090" w:rsidR="001F567D" w:rsidRDefault="001F567D" w:rsidP="00A16E01">
      <w:pPr>
        <w:rPr>
          <w:rFonts w:cstheme="minorHAnsi"/>
        </w:rPr>
      </w:pPr>
    </w:p>
    <w:p w14:paraId="02E402CF" w14:textId="797F6A5B" w:rsidR="001F567D" w:rsidRDefault="001F567D" w:rsidP="00A16E01">
      <w:pPr>
        <w:rPr>
          <w:rFonts w:cstheme="minorHAnsi"/>
        </w:rPr>
      </w:pPr>
    </w:p>
    <w:p w14:paraId="282030CD" w14:textId="76E35C54" w:rsidR="001F567D" w:rsidRDefault="001F567D" w:rsidP="00A16E01">
      <w:pPr>
        <w:rPr>
          <w:rFonts w:cstheme="minorHAnsi"/>
        </w:rPr>
      </w:pPr>
    </w:p>
    <w:p w14:paraId="0B5A0A97" w14:textId="4F82402B" w:rsidR="001F567D" w:rsidRDefault="001F567D" w:rsidP="00A16E01">
      <w:pPr>
        <w:rPr>
          <w:rFonts w:cstheme="minorHAnsi"/>
        </w:rPr>
      </w:pPr>
    </w:p>
    <w:p w14:paraId="52E49460" w14:textId="624289DD" w:rsidR="001F567D" w:rsidRDefault="001F567D" w:rsidP="00A16E01">
      <w:pPr>
        <w:rPr>
          <w:rFonts w:cstheme="minorHAnsi"/>
        </w:rPr>
      </w:pPr>
    </w:p>
    <w:p w14:paraId="2DAFE00B" w14:textId="33B2E2D8" w:rsidR="001F567D" w:rsidRDefault="001F567D" w:rsidP="00A16E01">
      <w:pPr>
        <w:rPr>
          <w:rFonts w:cstheme="minorHAnsi"/>
        </w:rPr>
      </w:pPr>
    </w:p>
    <w:p w14:paraId="70B541D2" w14:textId="7B7BE5BC" w:rsidR="001F567D" w:rsidRDefault="001F567D" w:rsidP="00A16E01">
      <w:pPr>
        <w:rPr>
          <w:rFonts w:cstheme="minorHAnsi"/>
        </w:rPr>
      </w:pPr>
    </w:p>
    <w:p w14:paraId="5B295D93" w14:textId="6F4530A9" w:rsidR="001F567D" w:rsidRDefault="001F567D" w:rsidP="00A16E01">
      <w:pPr>
        <w:rPr>
          <w:rFonts w:cstheme="minorHAnsi"/>
        </w:rPr>
      </w:pPr>
    </w:p>
    <w:p w14:paraId="4C68B429" w14:textId="1D865A74" w:rsidR="001F567D" w:rsidRDefault="001F567D" w:rsidP="00A16E01">
      <w:pPr>
        <w:rPr>
          <w:rFonts w:cstheme="minorHAnsi"/>
        </w:rPr>
      </w:pPr>
    </w:p>
    <w:p w14:paraId="4648C42B" w14:textId="0073E205" w:rsidR="001F567D" w:rsidRDefault="001F567D" w:rsidP="00A16E01">
      <w:pPr>
        <w:rPr>
          <w:rFonts w:cstheme="minorHAnsi"/>
        </w:rPr>
      </w:pPr>
    </w:p>
    <w:p w14:paraId="78B2936F" w14:textId="1EA60765" w:rsidR="001F567D" w:rsidRDefault="001F567D" w:rsidP="00A16E01">
      <w:pPr>
        <w:rPr>
          <w:rFonts w:cstheme="minorHAnsi"/>
        </w:rPr>
      </w:pPr>
    </w:p>
    <w:p w14:paraId="62767EC3" w14:textId="0D1C7D33" w:rsidR="001F567D" w:rsidRDefault="001F567D" w:rsidP="00A16E01">
      <w:pPr>
        <w:rPr>
          <w:rFonts w:cstheme="minorHAnsi"/>
        </w:rPr>
      </w:pPr>
    </w:p>
    <w:p w14:paraId="18FBD1B7" w14:textId="55823734" w:rsidR="001F567D" w:rsidRDefault="001F567D" w:rsidP="00A16E01">
      <w:pPr>
        <w:rPr>
          <w:rFonts w:cstheme="minorHAnsi"/>
        </w:rPr>
      </w:pPr>
    </w:p>
    <w:p w14:paraId="7F8CA712" w14:textId="695316ED" w:rsidR="001F567D" w:rsidRDefault="001F567D" w:rsidP="00A16E01">
      <w:pPr>
        <w:rPr>
          <w:rFonts w:cstheme="minorHAnsi"/>
        </w:rPr>
      </w:pPr>
    </w:p>
    <w:p w14:paraId="33A37E8E" w14:textId="7B60E412" w:rsidR="001F567D" w:rsidRDefault="001F567D" w:rsidP="00A16E01">
      <w:pPr>
        <w:rPr>
          <w:rFonts w:cstheme="minorHAnsi"/>
        </w:rPr>
      </w:pPr>
    </w:p>
    <w:p w14:paraId="4F1A8B63" w14:textId="33020785" w:rsidR="001F567D" w:rsidRDefault="001F567D" w:rsidP="00A16E01">
      <w:pPr>
        <w:rPr>
          <w:rFonts w:cstheme="minorHAnsi"/>
        </w:rPr>
      </w:pPr>
    </w:p>
    <w:p w14:paraId="6FE753FA" w14:textId="60498581" w:rsidR="001F567D" w:rsidRDefault="001F567D" w:rsidP="00A16E01">
      <w:pPr>
        <w:rPr>
          <w:rFonts w:cstheme="minorHAnsi"/>
        </w:rPr>
      </w:pPr>
    </w:p>
    <w:p w14:paraId="7F9399A0" w14:textId="5BC4EC22" w:rsidR="001F567D" w:rsidRDefault="001F567D" w:rsidP="00A16E01">
      <w:pPr>
        <w:rPr>
          <w:rFonts w:cstheme="minorHAnsi"/>
        </w:rPr>
      </w:pPr>
    </w:p>
    <w:p w14:paraId="2CA3B3A9" w14:textId="6CFFC94E" w:rsidR="001F567D" w:rsidRDefault="001F567D" w:rsidP="00A16E01">
      <w:pPr>
        <w:rPr>
          <w:rFonts w:cstheme="minorHAnsi"/>
        </w:rPr>
      </w:pPr>
    </w:p>
    <w:p w14:paraId="2BDAA162" w14:textId="5625A452" w:rsidR="001F567D" w:rsidRDefault="001F567D" w:rsidP="00A16E01">
      <w:pPr>
        <w:rPr>
          <w:rFonts w:cstheme="minorHAnsi"/>
        </w:rPr>
      </w:pPr>
    </w:p>
    <w:p w14:paraId="7D1DB467" w14:textId="208CAAED" w:rsidR="001F567D" w:rsidRDefault="001F567D" w:rsidP="00A16E01">
      <w:pPr>
        <w:rPr>
          <w:rFonts w:cstheme="minorHAnsi"/>
        </w:rPr>
      </w:pPr>
    </w:p>
    <w:p w14:paraId="4F860E54" w14:textId="7E1DB923" w:rsidR="001F567D" w:rsidRDefault="001F567D" w:rsidP="00A16E01">
      <w:pPr>
        <w:rPr>
          <w:rFonts w:cstheme="minorHAnsi"/>
        </w:rPr>
      </w:pPr>
    </w:p>
    <w:p w14:paraId="55547FD4" w14:textId="31C5419C" w:rsidR="001F567D" w:rsidRDefault="001F567D" w:rsidP="00A16E01">
      <w:pPr>
        <w:rPr>
          <w:rFonts w:cstheme="minorHAnsi"/>
        </w:rPr>
      </w:pPr>
    </w:p>
    <w:p w14:paraId="7772C826" w14:textId="77777777" w:rsidR="001F567D" w:rsidRDefault="001F567D" w:rsidP="00A16E01">
      <w:pPr>
        <w:rPr>
          <w:rFonts w:cstheme="minorHAnsi"/>
        </w:rPr>
      </w:pPr>
      <w:bookmarkStart w:id="0" w:name="_GoBack"/>
      <w:bookmarkEnd w:id="0"/>
    </w:p>
    <w:p w14:paraId="25BD13D5" w14:textId="3B12CB01" w:rsidR="001F567D" w:rsidRDefault="001F567D" w:rsidP="00A16E01">
      <w:pPr>
        <w:rPr>
          <w:rFonts w:cstheme="minorHAnsi"/>
        </w:rPr>
      </w:pPr>
    </w:p>
    <w:tbl>
      <w:tblPr>
        <w:tblW w:w="5005" w:type="pct"/>
        <w:tblInd w:w="8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1800"/>
        <w:gridCol w:w="1800"/>
        <w:gridCol w:w="5759"/>
      </w:tblGrid>
      <w:tr w:rsidR="001F567D" w:rsidRPr="006B2F85" w14:paraId="6ABD4B4F" w14:textId="77777777" w:rsidTr="00F50C21">
        <w:trPr>
          <w:cantSplit/>
          <w:trHeight w:val="144"/>
        </w:trPr>
        <w:tc>
          <w:tcPr>
            <w:tcW w:w="1800" w:type="dxa"/>
            <w:shd w:val="clear" w:color="auto" w:fill="FFD966" w:themeFill="accent4" w:themeFillTint="99"/>
            <w:vAlign w:val="center"/>
          </w:tcPr>
          <w:p w14:paraId="78B5EE98" w14:textId="77777777" w:rsidR="001F567D" w:rsidRPr="00091797" w:rsidRDefault="001F567D" w:rsidP="00F50C21">
            <w:pPr>
              <w:pStyle w:val="Header"/>
              <w:spacing w:after="120"/>
              <w:jc w:val="center"/>
              <w:rPr>
                <w:b/>
              </w:rPr>
            </w:pPr>
            <w:r w:rsidRPr="00091797">
              <w:rPr>
                <w:b/>
              </w:rPr>
              <w:t>Version Number</w:t>
            </w:r>
          </w:p>
        </w:tc>
        <w:tc>
          <w:tcPr>
            <w:tcW w:w="1800" w:type="dxa"/>
            <w:shd w:val="clear" w:color="auto" w:fill="FFD966" w:themeFill="accent4" w:themeFillTint="99"/>
          </w:tcPr>
          <w:p w14:paraId="768F47E8" w14:textId="77777777" w:rsidR="001F567D" w:rsidRPr="00091797" w:rsidRDefault="001F567D" w:rsidP="00F50C21">
            <w:pPr>
              <w:pStyle w:val="Header"/>
              <w:spacing w:after="120"/>
              <w:jc w:val="center"/>
              <w:rPr>
                <w:b/>
              </w:rPr>
            </w:pPr>
            <w:r>
              <w:rPr>
                <w:b/>
              </w:rPr>
              <w:t>Version</w:t>
            </w:r>
            <w:r w:rsidRPr="00091797">
              <w:rPr>
                <w:b/>
              </w:rPr>
              <w:t xml:space="preserve"> Date</w:t>
            </w:r>
          </w:p>
        </w:tc>
        <w:tc>
          <w:tcPr>
            <w:tcW w:w="5759" w:type="dxa"/>
            <w:shd w:val="clear" w:color="auto" w:fill="FFD966" w:themeFill="accent4" w:themeFillTint="99"/>
          </w:tcPr>
          <w:p w14:paraId="71C697DF" w14:textId="77777777" w:rsidR="001F567D" w:rsidRPr="00091797" w:rsidRDefault="001F567D" w:rsidP="00F50C21">
            <w:pPr>
              <w:pStyle w:val="Header"/>
              <w:spacing w:after="120"/>
              <w:jc w:val="center"/>
              <w:rPr>
                <w:b/>
              </w:rPr>
            </w:pPr>
            <w:r w:rsidRPr="00091797">
              <w:rPr>
                <w:b/>
              </w:rPr>
              <w:t>Summary of Changes</w:t>
            </w:r>
          </w:p>
        </w:tc>
      </w:tr>
      <w:tr w:rsidR="001F567D" w:rsidRPr="006B2F85" w14:paraId="3C8607A3" w14:textId="77777777" w:rsidTr="00F50C21">
        <w:trPr>
          <w:cantSplit/>
          <w:trHeight w:val="167"/>
        </w:trPr>
        <w:tc>
          <w:tcPr>
            <w:tcW w:w="1800" w:type="dxa"/>
            <w:vAlign w:val="center"/>
          </w:tcPr>
          <w:p w14:paraId="7AFEF4EE" w14:textId="77777777" w:rsidR="001F567D" w:rsidRPr="00091797" w:rsidRDefault="001F567D" w:rsidP="00F50C21">
            <w:pPr>
              <w:pStyle w:val="Header"/>
              <w:spacing w:after="120"/>
              <w:jc w:val="center"/>
            </w:pPr>
            <w:r>
              <w:t>2</w:t>
            </w:r>
            <w:r w:rsidRPr="00091797">
              <w:t>.</w:t>
            </w:r>
            <w:r>
              <w:t>1</w:t>
            </w:r>
          </w:p>
        </w:tc>
        <w:tc>
          <w:tcPr>
            <w:tcW w:w="1800" w:type="dxa"/>
            <w:vAlign w:val="center"/>
          </w:tcPr>
          <w:p w14:paraId="2207497F" w14:textId="77777777" w:rsidR="001F567D" w:rsidRPr="00091797" w:rsidRDefault="001F567D" w:rsidP="00F50C21">
            <w:pPr>
              <w:pStyle w:val="Header"/>
              <w:spacing w:after="120"/>
              <w:jc w:val="center"/>
            </w:pPr>
            <w:r>
              <w:t>11.19.2020</w:t>
            </w:r>
          </w:p>
        </w:tc>
        <w:tc>
          <w:tcPr>
            <w:tcW w:w="5759" w:type="dxa"/>
            <w:vAlign w:val="center"/>
          </w:tcPr>
          <w:p w14:paraId="0C9B4A82" w14:textId="77777777" w:rsidR="001F567D" w:rsidRPr="00091797" w:rsidRDefault="001F567D" w:rsidP="00F50C21">
            <w:pPr>
              <w:pStyle w:val="Header"/>
              <w:spacing w:after="120"/>
              <w:jc w:val="center"/>
            </w:pPr>
            <w:r>
              <w:t>Re-numbered policy due to consolidation of other policies</w:t>
            </w:r>
          </w:p>
        </w:tc>
      </w:tr>
      <w:tr w:rsidR="001F567D" w:rsidRPr="006B2F85" w14:paraId="28FA9201" w14:textId="77777777" w:rsidTr="00F50C21">
        <w:trPr>
          <w:cantSplit/>
          <w:trHeight w:val="167"/>
        </w:trPr>
        <w:tc>
          <w:tcPr>
            <w:tcW w:w="1800" w:type="dxa"/>
            <w:vAlign w:val="center"/>
          </w:tcPr>
          <w:p w14:paraId="7CDFCAB5" w14:textId="77777777" w:rsidR="001F567D" w:rsidRPr="00091797" w:rsidRDefault="001F567D" w:rsidP="00F50C21">
            <w:pPr>
              <w:pStyle w:val="Header"/>
              <w:spacing w:after="120"/>
              <w:jc w:val="center"/>
            </w:pPr>
            <w:r>
              <w:t>2.0</w:t>
            </w:r>
          </w:p>
        </w:tc>
        <w:tc>
          <w:tcPr>
            <w:tcW w:w="1800" w:type="dxa"/>
            <w:vAlign w:val="center"/>
          </w:tcPr>
          <w:p w14:paraId="3070816F" w14:textId="77777777" w:rsidR="001F567D" w:rsidRDefault="001F567D" w:rsidP="00F50C21">
            <w:pPr>
              <w:pStyle w:val="Header"/>
              <w:spacing w:after="120"/>
              <w:jc w:val="center"/>
            </w:pPr>
            <w:r>
              <w:t>2.07.2020</w:t>
            </w:r>
          </w:p>
        </w:tc>
        <w:tc>
          <w:tcPr>
            <w:tcW w:w="5759" w:type="dxa"/>
            <w:vAlign w:val="center"/>
          </w:tcPr>
          <w:p w14:paraId="67224694" w14:textId="77777777" w:rsidR="001F567D" w:rsidRDefault="001F567D" w:rsidP="00F50C21">
            <w:pPr>
              <w:pStyle w:val="Header"/>
              <w:spacing w:after="120"/>
              <w:jc w:val="center"/>
            </w:pPr>
            <w:r>
              <w:t>Separated section in Guidebook into multiple online policies</w:t>
            </w:r>
          </w:p>
        </w:tc>
      </w:tr>
      <w:tr w:rsidR="001F567D" w:rsidRPr="006B2F85" w14:paraId="331E882B" w14:textId="77777777" w:rsidTr="00F50C21">
        <w:trPr>
          <w:cantSplit/>
          <w:trHeight w:val="167"/>
        </w:trPr>
        <w:tc>
          <w:tcPr>
            <w:tcW w:w="1800" w:type="dxa"/>
            <w:vAlign w:val="center"/>
          </w:tcPr>
          <w:p w14:paraId="2FBFFBF8" w14:textId="77777777" w:rsidR="001F567D" w:rsidRPr="00091797" w:rsidRDefault="001F567D" w:rsidP="00F50C21">
            <w:pPr>
              <w:pStyle w:val="Header"/>
              <w:spacing w:after="120"/>
              <w:jc w:val="center"/>
            </w:pPr>
            <w:r>
              <w:t>1.0</w:t>
            </w:r>
          </w:p>
        </w:tc>
        <w:tc>
          <w:tcPr>
            <w:tcW w:w="1800" w:type="dxa"/>
            <w:vAlign w:val="center"/>
          </w:tcPr>
          <w:p w14:paraId="73321722" w14:textId="77777777" w:rsidR="001F567D" w:rsidRDefault="001F567D" w:rsidP="00F50C21">
            <w:pPr>
              <w:pStyle w:val="Header"/>
              <w:spacing w:after="120"/>
              <w:jc w:val="center"/>
            </w:pPr>
            <w:r>
              <w:t>3.35.2019</w:t>
            </w:r>
          </w:p>
        </w:tc>
        <w:tc>
          <w:tcPr>
            <w:tcW w:w="5759" w:type="dxa"/>
            <w:vAlign w:val="center"/>
          </w:tcPr>
          <w:p w14:paraId="63AE5C79" w14:textId="77777777" w:rsidR="001F567D" w:rsidRDefault="001F567D" w:rsidP="00F50C21">
            <w:pPr>
              <w:pStyle w:val="Header"/>
              <w:spacing w:after="120"/>
              <w:jc w:val="center"/>
            </w:pPr>
            <w:r>
              <w:t>N/A</w:t>
            </w:r>
          </w:p>
        </w:tc>
      </w:tr>
    </w:tbl>
    <w:p w14:paraId="5B02CA4A" w14:textId="77777777" w:rsidR="001F567D" w:rsidRPr="00A16E01" w:rsidRDefault="001F567D" w:rsidP="00A16E01">
      <w:pPr>
        <w:rPr>
          <w:rFonts w:cstheme="minorHAnsi"/>
        </w:rPr>
      </w:pPr>
    </w:p>
    <w:sectPr w:rsidR="001F567D" w:rsidRPr="00A16E01" w:rsidSect="00666301">
      <w:footerReference w:type="default" r:id="rId9"/>
      <w:headerReference w:type="first" r:id="rId10"/>
      <w:footerReference w:type="first" r:id="rId11"/>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95AFC" w14:textId="77777777" w:rsidR="005045A9" w:rsidRDefault="005045A9" w:rsidP="00666301">
      <w:r>
        <w:separator/>
      </w:r>
    </w:p>
  </w:endnote>
  <w:endnote w:type="continuationSeparator" w:id="0">
    <w:p w14:paraId="126A9349" w14:textId="77777777" w:rsidR="005045A9" w:rsidRDefault="005045A9" w:rsidP="0066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EDC3C" w14:textId="39BFEE6F" w:rsidR="00666301" w:rsidRDefault="00A16E01">
    <w:pPr>
      <w:pStyle w:val="Footer"/>
    </w:pPr>
    <w:r>
      <w:t>P&amp;P</w:t>
    </w:r>
    <w:r w:rsidRPr="00BD3C1F">
      <w:t xml:space="preserve"> </w:t>
    </w:r>
    <w:r>
      <w:t xml:space="preserve">2.08 – </w:t>
    </w:r>
    <w:r w:rsidRPr="00A16E01">
      <w:t>IRB Records</w:t>
    </w:r>
    <w:r w:rsidR="00666301" w:rsidRPr="00BD3C1F">
      <w:tab/>
    </w:r>
    <w:r w:rsidR="00666301" w:rsidRPr="00BD3C1F">
      <w:tab/>
      <w:t xml:space="preserve">Page </w:t>
    </w:r>
    <w:r w:rsidR="00666301" w:rsidRPr="00BD3C1F">
      <w:fldChar w:fldCharType="begin"/>
    </w:r>
    <w:r w:rsidR="00666301" w:rsidRPr="00BD3C1F">
      <w:instrText xml:space="preserve"> PAGE  \* Arabic  \* MERGEFORMAT </w:instrText>
    </w:r>
    <w:r w:rsidR="00666301" w:rsidRPr="00BD3C1F">
      <w:fldChar w:fldCharType="separate"/>
    </w:r>
    <w:r w:rsidR="009B0C6F">
      <w:rPr>
        <w:noProof/>
      </w:rPr>
      <w:t>2</w:t>
    </w:r>
    <w:r w:rsidR="00666301" w:rsidRPr="00BD3C1F">
      <w:fldChar w:fldCharType="end"/>
    </w:r>
    <w:r w:rsidR="00666301" w:rsidRPr="00BD3C1F">
      <w:t xml:space="preserve"> of </w:t>
    </w:r>
    <w:r w:rsidR="009B0C6F">
      <w:fldChar w:fldCharType="begin"/>
    </w:r>
    <w:r w:rsidR="009B0C6F">
      <w:instrText xml:space="preserve"> NUMPAGES  \* Arabic  \* MERGEFORMAT </w:instrText>
    </w:r>
    <w:r w:rsidR="009B0C6F">
      <w:fldChar w:fldCharType="separate"/>
    </w:r>
    <w:r w:rsidR="009B0C6F">
      <w:rPr>
        <w:noProof/>
      </w:rPr>
      <w:t>2</w:t>
    </w:r>
    <w:r w:rsidR="009B0C6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D118C" w14:textId="620262F3" w:rsidR="00666301" w:rsidRDefault="00320381">
    <w:pPr>
      <w:pStyle w:val="Footer"/>
    </w:pPr>
    <w:r>
      <w:t>P&amp;P</w:t>
    </w:r>
    <w:r w:rsidR="00666301" w:rsidRPr="00BD3C1F">
      <w:t xml:space="preserve"> </w:t>
    </w:r>
    <w:r w:rsidR="00A16E01">
      <w:t>2.08</w:t>
    </w:r>
    <w:r w:rsidR="00666301">
      <w:t xml:space="preserve"> – </w:t>
    </w:r>
    <w:r w:rsidR="00A16E01" w:rsidRPr="00A16E01">
      <w:t>IRB Records</w:t>
    </w:r>
    <w:r w:rsidR="00666301" w:rsidRPr="00BD3C1F">
      <w:tab/>
    </w:r>
    <w:r w:rsidR="00666301" w:rsidRPr="00BD3C1F">
      <w:tab/>
      <w:t xml:space="preserve">Page </w:t>
    </w:r>
    <w:r w:rsidR="00666301" w:rsidRPr="00BD3C1F">
      <w:fldChar w:fldCharType="begin"/>
    </w:r>
    <w:r w:rsidR="00666301" w:rsidRPr="00BD3C1F">
      <w:instrText xml:space="preserve"> PAGE  \* Arabic  \* MERGEFORMAT </w:instrText>
    </w:r>
    <w:r w:rsidR="00666301" w:rsidRPr="00BD3C1F">
      <w:fldChar w:fldCharType="separate"/>
    </w:r>
    <w:r w:rsidR="009B0C6F">
      <w:rPr>
        <w:noProof/>
      </w:rPr>
      <w:t>1</w:t>
    </w:r>
    <w:r w:rsidR="00666301" w:rsidRPr="00BD3C1F">
      <w:fldChar w:fldCharType="end"/>
    </w:r>
    <w:r w:rsidR="00666301" w:rsidRPr="00BD3C1F">
      <w:t xml:space="preserve"> of </w:t>
    </w:r>
    <w:r w:rsidR="009B0C6F">
      <w:fldChar w:fldCharType="begin"/>
    </w:r>
    <w:r w:rsidR="009B0C6F">
      <w:instrText xml:space="preserve"> NUMPAGES  \* Arabic  \* MERGEFORMAT </w:instrText>
    </w:r>
    <w:r w:rsidR="009B0C6F">
      <w:fldChar w:fldCharType="separate"/>
    </w:r>
    <w:r w:rsidR="009B0C6F">
      <w:rPr>
        <w:noProof/>
      </w:rPr>
      <w:t>2</w:t>
    </w:r>
    <w:r w:rsidR="009B0C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8E1BB" w14:textId="77777777" w:rsidR="005045A9" w:rsidRDefault="005045A9" w:rsidP="00666301">
      <w:r>
        <w:separator/>
      </w:r>
    </w:p>
  </w:footnote>
  <w:footnote w:type="continuationSeparator" w:id="0">
    <w:p w14:paraId="002112BB" w14:textId="77777777" w:rsidR="005045A9" w:rsidRDefault="005045A9" w:rsidP="0066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1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1003"/>
      <w:gridCol w:w="1769"/>
      <w:gridCol w:w="1814"/>
      <w:gridCol w:w="2416"/>
    </w:tblGrid>
    <w:tr w:rsidR="00666301" w:rsidRPr="006520A8" w14:paraId="1C72186C" w14:textId="77777777" w:rsidTr="001F567D">
      <w:trPr>
        <w:cantSplit/>
        <w:trHeight w:val="800"/>
      </w:trPr>
      <w:tc>
        <w:tcPr>
          <w:tcW w:w="2556" w:type="dxa"/>
          <w:vMerge w:val="restart"/>
          <w:tcBorders>
            <w:top w:val="single" w:sz="4" w:space="0" w:color="auto"/>
            <w:left w:val="single" w:sz="4" w:space="0" w:color="auto"/>
            <w:right w:val="single" w:sz="4" w:space="0" w:color="auto"/>
          </w:tcBorders>
          <w:vAlign w:val="center"/>
        </w:tcPr>
        <w:p w14:paraId="7B1C6177" w14:textId="77777777" w:rsidR="00666301" w:rsidRPr="006520A8" w:rsidRDefault="00666301" w:rsidP="00666301">
          <w:pPr>
            <w:rPr>
              <w:b/>
              <w:color w:val="FFFFFF"/>
            </w:rPr>
          </w:pPr>
          <w:r w:rsidRPr="00D54DDE">
            <w:rPr>
              <w:b/>
              <w:noProof/>
              <w:color w:val="FFFFFF"/>
            </w:rPr>
            <w:drawing>
              <wp:anchor distT="0" distB="0" distL="114300" distR="114300" simplePos="0" relativeHeight="251659264" behindDoc="0" locked="0" layoutInCell="1" allowOverlap="1" wp14:anchorId="5D14EF81" wp14:editId="073517CF">
                <wp:simplePos x="981075" y="295275"/>
                <wp:positionH relativeFrom="margin">
                  <wp:posOffset>3175</wp:posOffset>
                </wp:positionH>
                <wp:positionV relativeFrom="margin">
                  <wp:posOffset>223520</wp:posOffset>
                </wp:positionV>
                <wp:extent cx="1482725" cy="704850"/>
                <wp:effectExtent l="0" t="0" r="3175" b="0"/>
                <wp:wrapSquare wrapText="bothSides"/>
                <wp:docPr id="1" name="Picture 1"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11-TEMPLATES\LSUHSC\LSU Health-HRPP-purp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272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02" w:type="dxa"/>
          <w:gridSpan w:val="4"/>
          <w:tcBorders>
            <w:top w:val="single" w:sz="4" w:space="0" w:color="auto"/>
            <w:left w:val="single" w:sz="4" w:space="0" w:color="auto"/>
            <w:right w:val="single" w:sz="4" w:space="0" w:color="auto"/>
          </w:tcBorders>
          <w:shd w:val="clear" w:color="auto" w:fill="7030A0"/>
        </w:tcPr>
        <w:p w14:paraId="0AD419B4" w14:textId="3115F395" w:rsidR="00666301" w:rsidRPr="001F567D" w:rsidRDefault="00A16E01" w:rsidP="00666301">
          <w:pPr>
            <w:pStyle w:val="SOPName"/>
            <w:ind w:left="0" w:firstLine="0"/>
            <w:rPr>
              <w:rStyle w:val="SOPLeader"/>
              <w:rFonts w:asciiTheme="minorHAnsi" w:hAnsiTheme="minorHAnsi" w:cstheme="minorHAnsi"/>
              <w:color w:val="FFFFFF" w:themeColor="background1"/>
              <w:sz w:val="28"/>
              <w:szCs w:val="28"/>
            </w:rPr>
          </w:pPr>
          <w:r w:rsidRPr="001F567D">
            <w:rPr>
              <w:rStyle w:val="SOPLeader"/>
              <w:rFonts w:asciiTheme="minorHAnsi" w:hAnsiTheme="minorHAnsi" w:cstheme="minorHAnsi"/>
              <w:color w:val="FFFFFF" w:themeColor="background1"/>
              <w:sz w:val="28"/>
              <w:szCs w:val="28"/>
            </w:rPr>
            <w:t>IRB RECORDS</w:t>
          </w:r>
        </w:p>
        <w:p w14:paraId="05EAD175" w14:textId="77777777" w:rsidR="00666301" w:rsidRPr="00AF3C8B" w:rsidRDefault="00666301" w:rsidP="00666301">
          <w:pPr>
            <w:pStyle w:val="SOPName"/>
            <w:rPr>
              <w:rStyle w:val="SOPLeader"/>
              <w:rFonts w:asciiTheme="minorHAnsi" w:hAnsiTheme="minorHAnsi" w:cstheme="minorHAnsi"/>
              <w:sz w:val="28"/>
              <w:szCs w:val="28"/>
            </w:rPr>
          </w:pPr>
        </w:p>
      </w:tc>
    </w:tr>
    <w:tr w:rsidR="001F567D" w:rsidRPr="006520A8" w14:paraId="41C2169F" w14:textId="77777777" w:rsidTr="001F567D">
      <w:trPr>
        <w:cantSplit/>
        <w:trHeight w:val="247"/>
      </w:trPr>
      <w:tc>
        <w:tcPr>
          <w:tcW w:w="2556" w:type="dxa"/>
          <w:vMerge/>
          <w:tcBorders>
            <w:left w:val="single" w:sz="4" w:space="0" w:color="auto"/>
            <w:right w:val="single" w:sz="8" w:space="0" w:color="auto"/>
          </w:tcBorders>
        </w:tcPr>
        <w:p w14:paraId="601FB36F" w14:textId="77777777" w:rsidR="001F567D" w:rsidRDefault="001F567D" w:rsidP="001F567D"/>
      </w:tc>
      <w:tc>
        <w:tcPr>
          <w:tcW w:w="1003" w:type="dxa"/>
          <w:tcBorders>
            <w:top w:val="single" w:sz="8" w:space="0" w:color="auto"/>
            <w:left w:val="single" w:sz="8" w:space="0" w:color="auto"/>
            <w:bottom w:val="single" w:sz="8" w:space="0" w:color="auto"/>
            <w:right w:val="single" w:sz="8" w:space="0" w:color="auto"/>
          </w:tcBorders>
          <w:shd w:val="clear" w:color="auto" w:fill="E7E6E6" w:themeFill="background2"/>
        </w:tcPr>
        <w:p w14:paraId="3B339F1D" w14:textId="5CAB9EF8" w:rsidR="001F567D" w:rsidRPr="001F567D" w:rsidRDefault="001F567D" w:rsidP="001F567D">
          <w:pPr>
            <w:pStyle w:val="SOPTableHeader"/>
            <w:ind w:left="432"/>
            <w:rPr>
              <w:rFonts w:asciiTheme="minorHAnsi" w:hAnsiTheme="minorHAnsi" w:cstheme="minorHAnsi"/>
              <w:b/>
            </w:rPr>
          </w:pPr>
          <w:r w:rsidRPr="001F567D">
            <w:rPr>
              <w:b/>
            </w:rPr>
            <w:t>P &amp; P</w:t>
          </w:r>
        </w:p>
      </w:tc>
      <w:tc>
        <w:tcPr>
          <w:tcW w:w="1769" w:type="dxa"/>
          <w:tcBorders>
            <w:top w:val="single" w:sz="8" w:space="0" w:color="auto"/>
            <w:left w:val="single" w:sz="8" w:space="0" w:color="auto"/>
            <w:right w:val="single" w:sz="8" w:space="0" w:color="auto"/>
          </w:tcBorders>
          <w:shd w:val="clear" w:color="auto" w:fill="E7E6E6" w:themeFill="background2"/>
        </w:tcPr>
        <w:p w14:paraId="466BE3B1" w14:textId="4523C591" w:rsidR="001F567D" w:rsidRPr="001F567D" w:rsidRDefault="001F567D" w:rsidP="001F567D">
          <w:pPr>
            <w:pStyle w:val="SOPTableHeader"/>
            <w:ind w:left="432"/>
            <w:rPr>
              <w:rFonts w:asciiTheme="minorHAnsi" w:hAnsiTheme="minorHAnsi" w:cstheme="minorHAnsi"/>
              <w:b/>
            </w:rPr>
          </w:pPr>
          <w:r w:rsidRPr="001F567D">
            <w:rPr>
              <w:b/>
            </w:rPr>
            <w:t>VERSION DATE</w:t>
          </w:r>
        </w:p>
      </w:tc>
      <w:tc>
        <w:tcPr>
          <w:tcW w:w="1814" w:type="dxa"/>
          <w:tcBorders>
            <w:top w:val="single" w:sz="8" w:space="0" w:color="auto"/>
            <w:left w:val="single" w:sz="8" w:space="0" w:color="auto"/>
            <w:right w:val="single" w:sz="8" w:space="0" w:color="auto"/>
          </w:tcBorders>
          <w:shd w:val="clear" w:color="auto" w:fill="E7E6E6" w:themeFill="background2"/>
        </w:tcPr>
        <w:p w14:paraId="340AD412" w14:textId="459C45B6" w:rsidR="001F567D" w:rsidRPr="001F567D" w:rsidRDefault="001F567D" w:rsidP="001F567D">
          <w:pPr>
            <w:pStyle w:val="SOPTableEntry"/>
            <w:ind w:left="432"/>
            <w:rPr>
              <w:rFonts w:asciiTheme="minorHAnsi" w:hAnsiTheme="minorHAnsi" w:cstheme="minorHAnsi"/>
              <w:b/>
              <w:sz w:val="20"/>
            </w:rPr>
          </w:pPr>
          <w:r w:rsidRPr="001F567D">
            <w:rPr>
              <w:b/>
            </w:rPr>
            <w:t>REPLACES P &amp; P</w:t>
          </w:r>
        </w:p>
      </w:tc>
      <w:tc>
        <w:tcPr>
          <w:tcW w:w="2416" w:type="dxa"/>
          <w:tcBorders>
            <w:top w:val="single" w:sz="8" w:space="0" w:color="auto"/>
            <w:left w:val="single" w:sz="8" w:space="0" w:color="auto"/>
            <w:bottom w:val="single" w:sz="8" w:space="0" w:color="auto"/>
            <w:right w:val="single" w:sz="4" w:space="0" w:color="auto"/>
          </w:tcBorders>
          <w:shd w:val="clear" w:color="auto" w:fill="E7E6E6" w:themeFill="background2"/>
        </w:tcPr>
        <w:p w14:paraId="1E76770E" w14:textId="6E77FEE2" w:rsidR="001F567D" w:rsidRPr="001F567D" w:rsidRDefault="001F567D" w:rsidP="001F567D">
          <w:pPr>
            <w:pStyle w:val="SOPTableHeader"/>
            <w:ind w:left="432"/>
            <w:rPr>
              <w:rFonts w:asciiTheme="minorHAnsi" w:hAnsiTheme="minorHAnsi" w:cstheme="minorHAnsi"/>
              <w:b/>
            </w:rPr>
          </w:pPr>
          <w:r w:rsidRPr="001F567D">
            <w:rPr>
              <w:b/>
            </w:rPr>
            <w:t>PREVIOUS VERSION DATE</w:t>
          </w:r>
        </w:p>
      </w:tc>
    </w:tr>
    <w:tr w:rsidR="00666301" w:rsidRPr="006520A8" w14:paraId="0F05A45B" w14:textId="77777777" w:rsidTr="001F567D">
      <w:trPr>
        <w:cantSplit/>
        <w:trHeight w:val="103"/>
      </w:trPr>
      <w:tc>
        <w:tcPr>
          <w:tcW w:w="2556" w:type="dxa"/>
          <w:vMerge/>
          <w:tcBorders>
            <w:left w:val="single" w:sz="4" w:space="0" w:color="auto"/>
            <w:bottom w:val="single" w:sz="4" w:space="0" w:color="auto"/>
            <w:right w:val="single" w:sz="8" w:space="0" w:color="auto"/>
          </w:tcBorders>
        </w:tcPr>
        <w:p w14:paraId="4DEAB6FD" w14:textId="77777777" w:rsidR="00666301" w:rsidRDefault="00666301" w:rsidP="00666301"/>
      </w:tc>
      <w:tc>
        <w:tcPr>
          <w:tcW w:w="1003" w:type="dxa"/>
          <w:tcBorders>
            <w:top w:val="single" w:sz="8" w:space="0" w:color="auto"/>
            <w:left w:val="single" w:sz="8" w:space="0" w:color="auto"/>
            <w:bottom w:val="single" w:sz="4" w:space="0" w:color="auto"/>
            <w:right w:val="single" w:sz="8" w:space="0" w:color="auto"/>
          </w:tcBorders>
          <w:vAlign w:val="center"/>
        </w:tcPr>
        <w:p w14:paraId="407AF0F6" w14:textId="21228EA0" w:rsidR="00666301" w:rsidRPr="008A1431" w:rsidRDefault="00A16E01" w:rsidP="005543CE">
          <w:pPr>
            <w:pStyle w:val="SOPTableEntry"/>
            <w:ind w:left="432"/>
            <w:rPr>
              <w:rFonts w:asciiTheme="minorHAnsi" w:hAnsiTheme="minorHAnsi" w:cstheme="minorHAnsi"/>
              <w:sz w:val="20"/>
            </w:rPr>
          </w:pPr>
          <w:r>
            <w:rPr>
              <w:rFonts w:asciiTheme="minorHAnsi" w:hAnsiTheme="minorHAnsi" w:cstheme="minorHAnsi"/>
              <w:sz w:val="20"/>
            </w:rPr>
            <w:t>2.0</w:t>
          </w:r>
          <w:r w:rsidR="005543CE">
            <w:rPr>
              <w:rFonts w:asciiTheme="minorHAnsi" w:hAnsiTheme="minorHAnsi" w:cstheme="minorHAnsi"/>
              <w:sz w:val="20"/>
            </w:rPr>
            <w:t>5</w:t>
          </w:r>
        </w:p>
      </w:tc>
      <w:tc>
        <w:tcPr>
          <w:tcW w:w="1769" w:type="dxa"/>
          <w:tcBorders>
            <w:left w:val="single" w:sz="8" w:space="0" w:color="auto"/>
            <w:bottom w:val="single" w:sz="4" w:space="0" w:color="auto"/>
            <w:right w:val="single" w:sz="8" w:space="0" w:color="auto"/>
          </w:tcBorders>
          <w:shd w:val="clear" w:color="auto" w:fill="auto"/>
          <w:vAlign w:val="center"/>
        </w:tcPr>
        <w:p w14:paraId="477ADA2B" w14:textId="40059A7C" w:rsidR="00666301" w:rsidRPr="008A1431" w:rsidRDefault="005543CE" w:rsidP="005543CE">
          <w:pPr>
            <w:pStyle w:val="SOPTableEntry"/>
            <w:ind w:left="432"/>
            <w:rPr>
              <w:rFonts w:asciiTheme="minorHAnsi" w:hAnsiTheme="minorHAnsi" w:cstheme="minorHAnsi"/>
              <w:sz w:val="20"/>
            </w:rPr>
          </w:pPr>
          <w:r>
            <w:rPr>
              <w:rFonts w:asciiTheme="minorHAnsi" w:hAnsiTheme="minorHAnsi" w:cstheme="minorHAnsi"/>
              <w:sz w:val="20"/>
            </w:rPr>
            <w:t>11</w:t>
          </w:r>
          <w:r w:rsidR="000E1FC0">
            <w:rPr>
              <w:rFonts w:asciiTheme="minorHAnsi" w:hAnsiTheme="minorHAnsi" w:cstheme="minorHAnsi"/>
              <w:sz w:val="20"/>
            </w:rPr>
            <w:t>.</w:t>
          </w:r>
          <w:r>
            <w:rPr>
              <w:rFonts w:asciiTheme="minorHAnsi" w:hAnsiTheme="minorHAnsi" w:cstheme="minorHAnsi"/>
              <w:sz w:val="20"/>
            </w:rPr>
            <w:t>19</w:t>
          </w:r>
          <w:r w:rsidR="000E1FC0">
            <w:rPr>
              <w:rFonts w:asciiTheme="minorHAnsi" w:hAnsiTheme="minorHAnsi" w:cstheme="minorHAnsi"/>
              <w:sz w:val="20"/>
            </w:rPr>
            <w:t>.2020</w:t>
          </w:r>
        </w:p>
      </w:tc>
      <w:tc>
        <w:tcPr>
          <w:tcW w:w="1814" w:type="dxa"/>
          <w:tcBorders>
            <w:left w:val="single" w:sz="8" w:space="0" w:color="auto"/>
            <w:bottom w:val="single" w:sz="4" w:space="0" w:color="auto"/>
            <w:right w:val="single" w:sz="8" w:space="0" w:color="auto"/>
          </w:tcBorders>
          <w:shd w:val="clear" w:color="auto" w:fill="auto"/>
          <w:vAlign w:val="center"/>
        </w:tcPr>
        <w:p w14:paraId="4F10846E" w14:textId="2536A719" w:rsidR="00666301" w:rsidRPr="008A1431" w:rsidRDefault="001F567D" w:rsidP="005543CE">
          <w:pPr>
            <w:pStyle w:val="SOPTableEntry"/>
            <w:ind w:left="432"/>
            <w:rPr>
              <w:rFonts w:asciiTheme="minorHAnsi" w:hAnsiTheme="minorHAnsi" w:cstheme="minorHAnsi"/>
              <w:sz w:val="20"/>
            </w:rPr>
          </w:pPr>
          <w:r>
            <w:rPr>
              <w:rFonts w:asciiTheme="minorHAnsi" w:hAnsiTheme="minorHAnsi" w:cstheme="minorHAnsi"/>
              <w:sz w:val="20"/>
            </w:rPr>
            <w:t>2.08</w:t>
          </w:r>
        </w:p>
      </w:tc>
      <w:tc>
        <w:tcPr>
          <w:tcW w:w="2416" w:type="dxa"/>
          <w:tcBorders>
            <w:top w:val="single" w:sz="8" w:space="0" w:color="auto"/>
            <w:left w:val="single" w:sz="8" w:space="0" w:color="auto"/>
            <w:bottom w:val="single" w:sz="4" w:space="0" w:color="auto"/>
            <w:right w:val="single" w:sz="4" w:space="0" w:color="auto"/>
          </w:tcBorders>
          <w:vAlign w:val="center"/>
        </w:tcPr>
        <w:p w14:paraId="47B53D83" w14:textId="219B8D5E" w:rsidR="00666301" w:rsidRPr="008A1431" w:rsidRDefault="001F567D" w:rsidP="00666301">
          <w:pPr>
            <w:pStyle w:val="SOPTableEntry"/>
            <w:ind w:left="432"/>
            <w:rPr>
              <w:rFonts w:asciiTheme="minorHAnsi" w:hAnsiTheme="minorHAnsi" w:cstheme="minorHAnsi"/>
              <w:sz w:val="20"/>
            </w:rPr>
          </w:pPr>
          <w:r>
            <w:rPr>
              <w:rFonts w:asciiTheme="minorHAnsi" w:hAnsiTheme="minorHAnsi" w:cstheme="minorHAnsi"/>
              <w:sz w:val="20"/>
            </w:rPr>
            <w:t>02.07.2020</w:t>
          </w:r>
        </w:p>
      </w:tc>
    </w:tr>
  </w:tbl>
  <w:p w14:paraId="667F01C3" w14:textId="4B0C5868" w:rsidR="00666301" w:rsidRDefault="00666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8334D"/>
    <w:multiLevelType w:val="multilevel"/>
    <w:tmpl w:val="8BBC1E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D8979F5"/>
    <w:multiLevelType w:val="hybridMultilevel"/>
    <w:tmpl w:val="8E105DEC"/>
    <w:lvl w:ilvl="0" w:tplc="5692A89E">
      <w:start w:val="1"/>
      <w:numFmt w:val="decimal"/>
      <w:lvlText w:val="%1.0"/>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04285A"/>
    <w:multiLevelType w:val="hybridMultilevel"/>
    <w:tmpl w:val="8446E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FC349A"/>
    <w:multiLevelType w:val="hybridMultilevel"/>
    <w:tmpl w:val="60B6B5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E8759B"/>
    <w:multiLevelType w:val="hybridMultilevel"/>
    <w:tmpl w:val="6CA4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D2DEE"/>
    <w:multiLevelType w:val="hybridMultilevel"/>
    <w:tmpl w:val="5E240C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0F91B8C"/>
    <w:multiLevelType w:val="hybridMultilevel"/>
    <w:tmpl w:val="E2E89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8A748DA"/>
    <w:multiLevelType w:val="hybridMultilevel"/>
    <w:tmpl w:val="97B0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76461D"/>
    <w:multiLevelType w:val="multilevel"/>
    <w:tmpl w:val="F70E72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99F67D8"/>
    <w:multiLevelType w:val="hybridMultilevel"/>
    <w:tmpl w:val="470AC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D71936"/>
    <w:multiLevelType w:val="hybridMultilevel"/>
    <w:tmpl w:val="81762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514E8"/>
    <w:multiLevelType w:val="hybridMultilevel"/>
    <w:tmpl w:val="4C025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53BA"/>
    <w:multiLevelType w:val="multilevel"/>
    <w:tmpl w:val="C8C02728"/>
    <w:lvl w:ilvl="0">
      <w:start w:val="1"/>
      <w:numFmt w:val="decimal"/>
      <w:lvlText w:val="%1.0"/>
      <w:lvlJc w:val="left"/>
      <w:pPr>
        <w:ind w:left="360" w:hanging="360"/>
      </w:pPr>
      <w:rPr>
        <w:rFonts w:hint="default"/>
        <w:sz w:val="28"/>
        <w:szCs w:val="28"/>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DC5647E"/>
    <w:multiLevelType w:val="multilevel"/>
    <w:tmpl w:val="8DCA0B2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452C5A84"/>
    <w:multiLevelType w:val="hybridMultilevel"/>
    <w:tmpl w:val="77BE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FC7"/>
    <w:multiLevelType w:val="hybridMultilevel"/>
    <w:tmpl w:val="E11A47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11974F7"/>
    <w:multiLevelType w:val="multilevel"/>
    <w:tmpl w:val="8DCA0B2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52833CAC"/>
    <w:multiLevelType w:val="hybridMultilevel"/>
    <w:tmpl w:val="91EA60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85001EE"/>
    <w:multiLevelType w:val="hybridMultilevel"/>
    <w:tmpl w:val="8B223E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9232AC6"/>
    <w:multiLevelType w:val="hybridMultilevel"/>
    <w:tmpl w:val="B64C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E485C"/>
    <w:multiLevelType w:val="hybridMultilevel"/>
    <w:tmpl w:val="19B6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E4054E"/>
    <w:multiLevelType w:val="hybridMultilevel"/>
    <w:tmpl w:val="834EA934"/>
    <w:lvl w:ilvl="0" w:tplc="3E9A2630">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DD468E"/>
    <w:multiLevelType w:val="hybridMultilevel"/>
    <w:tmpl w:val="11A07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4F6179"/>
    <w:multiLevelType w:val="hybridMultilevel"/>
    <w:tmpl w:val="C3C0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E6DA1"/>
    <w:multiLevelType w:val="hybridMultilevel"/>
    <w:tmpl w:val="7DC0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03828"/>
    <w:multiLevelType w:val="hybridMultilevel"/>
    <w:tmpl w:val="444459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23"/>
  </w:num>
  <w:num w:numId="6">
    <w:abstractNumId w:val="19"/>
  </w:num>
  <w:num w:numId="7">
    <w:abstractNumId w:val="11"/>
  </w:num>
  <w:num w:numId="8">
    <w:abstractNumId w:val="10"/>
  </w:num>
  <w:num w:numId="9">
    <w:abstractNumId w:val="24"/>
  </w:num>
  <w:num w:numId="10">
    <w:abstractNumId w:val="20"/>
  </w:num>
  <w:num w:numId="11">
    <w:abstractNumId w:val="12"/>
  </w:num>
  <w:num w:numId="12">
    <w:abstractNumId w:val="21"/>
  </w:num>
  <w:num w:numId="13">
    <w:abstractNumId w:val="1"/>
  </w:num>
  <w:num w:numId="14">
    <w:abstractNumId w:val="9"/>
  </w:num>
  <w:num w:numId="15">
    <w:abstractNumId w:val="22"/>
  </w:num>
  <w:num w:numId="16">
    <w:abstractNumId w:val="13"/>
  </w:num>
  <w:num w:numId="17">
    <w:abstractNumId w:val="15"/>
  </w:num>
  <w:num w:numId="18">
    <w:abstractNumId w:val="17"/>
  </w:num>
  <w:num w:numId="19">
    <w:abstractNumId w:val="16"/>
  </w:num>
  <w:num w:numId="20">
    <w:abstractNumId w:val="3"/>
  </w:num>
  <w:num w:numId="21">
    <w:abstractNumId w:val="5"/>
  </w:num>
  <w:num w:numId="22">
    <w:abstractNumId w:val="18"/>
  </w:num>
  <w:num w:numId="23">
    <w:abstractNumId w:val="6"/>
  </w:num>
  <w:num w:numId="24">
    <w:abstractNumId w:val="25"/>
  </w:num>
  <w:num w:numId="25">
    <w:abstractNumId w:val="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0D1j4fwTHOBwiXH3TvvLl5P5vavodamjSrsSxj8RKBF75Bia8pnXSTcaQNcI44GlFPEveh2jtrDRDUuxKUkcww==" w:salt="Efudz+ipD8TkbcxsVg8GC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6F"/>
    <w:rsid w:val="00043FB3"/>
    <w:rsid w:val="00076E47"/>
    <w:rsid w:val="000C30DB"/>
    <w:rsid w:val="000C3BEF"/>
    <w:rsid w:val="000D528A"/>
    <w:rsid w:val="000E1FC0"/>
    <w:rsid w:val="001314C1"/>
    <w:rsid w:val="00190B75"/>
    <w:rsid w:val="00196376"/>
    <w:rsid w:val="001D29B6"/>
    <w:rsid w:val="001D3C0F"/>
    <w:rsid w:val="001F567D"/>
    <w:rsid w:val="00294631"/>
    <w:rsid w:val="002C24AA"/>
    <w:rsid w:val="003070C7"/>
    <w:rsid w:val="00320381"/>
    <w:rsid w:val="00340695"/>
    <w:rsid w:val="00364DB8"/>
    <w:rsid w:val="0038542E"/>
    <w:rsid w:val="003A65A4"/>
    <w:rsid w:val="0049701A"/>
    <w:rsid w:val="004A79E2"/>
    <w:rsid w:val="005045A9"/>
    <w:rsid w:val="00525BBF"/>
    <w:rsid w:val="0052717B"/>
    <w:rsid w:val="005543CE"/>
    <w:rsid w:val="00590C96"/>
    <w:rsid w:val="005A3CCF"/>
    <w:rsid w:val="005E1EC8"/>
    <w:rsid w:val="00602540"/>
    <w:rsid w:val="0062102C"/>
    <w:rsid w:val="0064603A"/>
    <w:rsid w:val="00666301"/>
    <w:rsid w:val="006D05D4"/>
    <w:rsid w:val="006D1388"/>
    <w:rsid w:val="0070402D"/>
    <w:rsid w:val="00723459"/>
    <w:rsid w:val="007709A2"/>
    <w:rsid w:val="0079455C"/>
    <w:rsid w:val="007A78C8"/>
    <w:rsid w:val="007B326F"/>
    <w:rsid w:val="007D0C4C"/>
    <w:rsid w:val="007D40E9"/>
    <w:rsid w:val="007E59DF"/>
    <w:rsid w:val="008014EA"/>
    <w:rsid w:val="008526DF"/>
    <w:rsid w:val="008776CF"/>
    <w:rsid w:val="008C4AC1"/>
    <w:rsid w:val="008D670B"/>
    <w:rsid w:val="009349BC"/>
    <w:rsid w:val="009B0C6F"/>
    <w:rsid w:val="00A16E01"/>
    <w:rsid w:val="00A67347"/>
    <w:rsid w:val="00AB1BE2"/>
    <w:rsid w:val="00AB2093"/>
    <w:rsid w:val="00AC649C"/>
    <w:rsid w:val="00B33230"/>
    <w:rsid w:val="00B91017"/>
    <w:rsid w:val="00B95181"/>
    <w:rsid w:val="00BE24C0"/>
    <w:rsid w:val="00BE3B60"/>
    <w:rsid w:val="00C714B3"/>
    <w:rsid w:val="00C80F59"/>
    <w:rsid w:val="00CA50C3"/>
    <w:rsid w:val="00D423C5"/>
    <w:rsid w:val="00D45998"/>
    <w:rsid w:val="00DB087B"/>
    <w:rsid w:val="00E14FF7"/>
    <w:rsid w:val="00E440FF"/>
    <w:rsid w:val="00EA116B"/>
    <w:rsid w:val="00EC0EBA"/>
    <w:rsid w:val="00FA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58C2B7"/>
  <w15:chartTrackingRefBased/>
  <w15:docId w15:val="{8240CFC7-59A0-4912-B600-379BA5EF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5998"/>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26F"/>
    <w:pPr>
      <w:ind w:left="720"/>
      <w:contextualSpacing/>
    </w:pPr>
  </w:style>
  <w:style w:type="character" w:styleId="Hyperlink">
    <w:name w:val="Hyperlink"/>
    <w:basedOn w:val="DefaultParagraphFont"/>
    <w:uiPriority w:val="99"/>
    <w:semiHidden/>
    <w:unhideWhenUsed/>
    <w:rsid w:val="00340695"/>
    <w:rPr>
      <w:color w:val="0000FF"/>
      <w:u w:val="single"/>
    </w:rPr>
  </w:style>
  <w:style w:type="paragraph" w:styleId="Header">
    <w:name w:val="header"/>
    <w:basedOn w:val="Normal"/>
    <w:link w:val="HeaderChar"/>
    <w:uiPriority w:val="99"/>
    <w:unhideWhenUsed/>
    <w:rsid w:val="00666301"/>
    <w:pPr>
      <w:tabs>
        <w:tab w:val="center" w:pos="4680"/>
        <w:tab w:val="right" w:pos="9360"/>
      </w:tabs>
    </w:pPr>
  </w:style>
  <w:style w:type="character" w:customStyle="1" w:styleId="HeaderChar">
    <w:name w:val="Header Char"/>
    <w:basedOn w:val="DefaultParagraphFont"/>
    <w:link w:val="Header"/>
    <w:uiPriority w:val="99"/>
    <w:rsid w:val="00666301"/>
  </w:style>
  <w:style w:type="paragraph" w:styleId="Footer">
    <w:name w:val="footer"/>
    <w:basedOn w:val="Normal"/>
    <w:link w:val="FooterChar"/>
    <w:uiPriority w:val="99"/>
    <w:unhideWhenUsed/>
    <w:rsid w:val="00666301"/>
    <w:pPr>
      <w:tabs>
        <w:tab w:val="center" w:pos="4680"/>
        <w:tab w:val="right" w:pos="9360"/>
      </w:tabs>
    </w:pPr>
  </w:style>
  <w:style w:type="character" w:customStyle="1" w:styleId="FooterChar">
    <w:name w:val="Footer Char"/>
    <w:basedOn w:val="DefaultParagraphFont"/>
    <w:link w:val="Footer"/>
    <w:uiPriority w:val="99"/>
    <w:rsid w:val="00666301"/>
  </w:style>
  <w:style w:type="character" w:customStyle="1" w:styleId="SOPLeader">
    <w:name w:val="SOP Leader"/>
    <w:rsid w:val="00666301"/>
    <w:rPr>
      <w:rFonts w:ascii="Calibri" w:hAnsi="Calibri"/>
      <w:b/>
      <w:sz w:val="24"/>
    </w:rPr>
  </w:style>
  <w:style w:type="paragraph" w:customStyle="1" w:styleId="SOPName">
    <w:name w:val="SOP Name"/>
    <w:basedOn w:val="Normal"/>
    <w:rsid w:val="00666301"/>
    <w:pPr>
      <w:ind w:left="1152" w:hanging="432"/>
    </w:pPr>
    <w:rPr>
      <w:rFonts w:ascii="Calibri" w:eastAsia="Times New Roman" w:hAnsi="Calibri" w:cs="Tahoma"/>
      <w:sz w:val="24"/>
      <w:szCs w:val="20"/>
    </w:rPr>
  </w:style>
  <w:style w:type="paragraph" w:customStyle="1" w:styleId="SOPTableHeader">
    <w:name w:val="SOP Table Header"/>
    <w:basedOn w:val="Normal"/>
    <w:rsid w:val="00666301"/>
    <w:pPr>
      <w:ind w:left="1152" w:hanging="432"/>
      <w:jc w:val="center"/>
    </w:pPr>
    <w:rPr>
      <w:rFonts w:ascii="Calibri" w:eastAsia="Times New Roman" w:hAnsi="Calibri" w:cs="Tahoma"/>
      <w:sz w:val="20"/>
      <w:szCs w:val="20"/>
    </w:rPr>
  </w:style>
  <w:style w:type="paragraph" w:customStyle="1" w:styleId="SOPTableEntry">
    <w:name w:val="SOP Table Entry"/>
    <w:basedOn w:val="SOPTableHeader"/>
    <w:rsid w:val="00666301"/>
    <w:rPr>
      <w:sz w:val="18"/>
    </w:rPr>
  </w:style>
  <w:style w:type="character" w:styleId="CommentReference">
    <w:name w:val="annotation reference"/>
    <w:basedOn w:val="DefaultParagraphFont"/>
    <w:uiPriority w:val="99"/>
    <w:semiHidden/>
    <w:unhideWhenUsed/>
    <w:rsid w:val="0049701A"/>
    <w:rPr>
      <w:sz w:val="16"/>
      <w:szCs w:val="16"/>
    </w:rPr>
  </w:style>
  <w:style w:type="paragraph" w:styleId="CommentText">
    <w:name w:val="annotation text"/>
    <w:basedOn w:val="Normal"/>
    <w:link w:val="CommentTextChar"/>
    <w:uiPriority w:val="99"/>
    <w:unhideWhenUsed/>
    <w:rsid w:val="0049701A"/>
    <w:rPr>
      <w:sz w:val="20"/>
      <w:szCs w:val="20"/>
    </w:rPr>
  </w:style>
  <w:style w:type="character" w:customStyle="1" w:styleId="CommentTextChar">
    <w:name w:val="Comment Text Char"/>
    <w:basedOn w:val="DefaultParagraphFont"/>
    <w:link w:val="CommentText"/>
    <w:uiPriority w:val="99"/>
    <w:rsid w:val="0049701A"/>
    <w:rPr>
      <w:sz w:val="20"/>
      <w:szCs w:val="20"/>
    </w:rPr>
  </w:style>
  <w:style w:type="paragraph" w:styleId="CommentSubject">
    <w:name w:val="annotation subject"/>
    <w:basedOn w:val="CommentText"/>
    <w:next w:val="CommentText"/>
    <w:link w:val="CommentSubjectChar"/>
    <w:uiPriority w:val="99"/>
    <w:semiHidden/>
    <w:unhideWhenUsed/>
    <w:rsid w:val="0049701A"/>
    <w:rPr>
      <w:b/>
      <w:bCs/>
    </w:rPr>
  </w:style>
  <w:style w:type="character" w:customStyle="1" w:styleId="CommentSubjectChar">
    <w:name w:val="Comment Subject Char"/>
    <w:basedOn w:val="CommentTextChar"/>
    <w:link w:val="CommentSubject"/>
    <w:uiPriority w:val="99"/>
    <w:semiHidden/>
    <w:rsid w:val="0049701A"/>
    <w:rPr>
      <w:b/>
      <w:bCs/>
      <w:sz w:val="20"/>
      <w:szCs w:val="20"/>
    </w:rPr>
  </w:style>
  <w:style w:type="paragraph" w:styleId="BalloonText">
    <w:name w:val="Balloon Text"/>
    <w:basedOn w:val="Normal"/>
    <w:link w:val="BalloonTextChar"/>
    <w:uiPriority w:val="99"/>
    <w:semiHidden/>
    <w:unhideWhenUsed/>
    <w:rsid w:val="00497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01A"/>
    <w:rPr>
      <w:rFonts w:ascii="Segoe UI" w:hAnsi="Segoe UI" w:cs="Segoe UI"/>
      <w:sz w:val="18"/>
      <w:szCs w:val="18"/>
    </w:rPr>
  </w:style>
  <w:style w:type="character" w:customStyle="1" w:styleId="Heading1Char">
    <w:name w:val="Heading 1 Char"/>
    <w:basedOn w:val="DefaultParagraphFont"/>
    <w:link w:val="Heading1"/>
    <w:uiPriority w:val="9"/>
    <w:rsid w:val="00D45998"/>
    <w:rPr>
      <w:rFonts w:asciiTheme="majorHAnsi" w:eastAsiaTheme="majorEastAsia" w:hAnsiTheme="majorHAnsi" w:cstheme="majorBidi"/>
      <w:color w:val="2E74B5" w:themeColor="accent1" w:themeShade="BF"/>
      <w:sz w:val="32"/>
      <w:szCs w:val="32"/>
    </w:rPr>
  </w:style>
  <w:style w:type="paragraph" w:customStyle="1" w:styleId="Default">
    <w:name w:val="Default"/>
    <w:rsid w:val="00A16E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Arial" w:eastAsia="Times New Roman" w:hAnsi="Arial" w:cs="Arial"/>
      <w:sz w:val="24"/>
      <w:szCs w:val="24"/>
    </w:rPr>
  </w:style>
  <w:style w:type="paragraph" w:styleId="NoSpacing">
    <w:name w:val="No Spacing"/>
    <w:uiPriority w:val="99"/>
    <w:qFormat/>
    <w:rsid w:val="00A16E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7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uhsc.edu/administration/academic/ors/irb.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93872-ABA8-4436-B1B7-75578C93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3769</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4</cp:revision>
  <cp:lastPrinted>2020-02-07T13:27:00Z</cp:lastPrinted>
  <dcterms:created xsi:type="dcterms:W3CDTF">2020-11-19T22:12:00Z</dcterms:created>
  <dcterms:modified xsi:type="dcterms:W3CDTF">2020-11-19T22:41:00Z</dcterms:modified>
</cp:coreProperties>
</file>